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3077D">
      <w:pPr>
        <w:tabs>
          <w:tab w:val="left" w:pos="1446"/>
        </w:tabs>
        <w:overflowPunct w:val="0"/>
        <w:spacing w:line="360" w:lineRule="auto"/>
        <w:ind w:left="540" w:hanging="539" w:hangingChars="257"/>
        <w:rPr>
          <w:rFonts w:ascii="宋体"/>
          <w:color w:val="000000" w:themeColor="text1"/>
        </w:rPr>
      </w:pPr>
      <w:r>
        <w:rPr>
          <w:rFonts w:ascii="宋体"/>
          <w:color w:val="000000" w:themeColor="text1"/>
        </w:rPr>
        <w:tab/>
      </w:r>
    </w:p>
    <w:p w14:paraId="389BA69B">
      <w:pPr>
        <w:snapToGrid w:val="0"/>
        <w:spacing w:line="360" w:lineRule="auto"/>
        <w:jc w:val="center"/>
        <w:rPr>
          <w:rFonts w:ascii="宋体" w:hAnsi="宋体" w:cs="宋体"/>
          <w:b/>
          <w:bCs/>
          <w:color w:val="000000" w:themeColor="text1"/>
          <w:sz w:val="44"/>
          <w:szCs w:val="44"/>
        </w:rPr>
      </w:pPr>
      <w:bookmarkStart w:id="0" w:name="_Toc182849073"/>
    </w:p>
    <w:p w14:paraId="4568A834">
      <w:pPr>
        <w:snapToGrid w:val="0"/>
        <w:spacing w:line="360" w:lineRule="auto"/>
        <w:jc w:val="center"/>
        <w:rPr>
          <w:rFonts w:hint="eastAsia" w:ascii="宋体" w:hAnsi="宋体" w:cs="宋体"/>
          <w:b/>
          <w:bCs/>
          <w:color w:val="000000" w:themeColor="text1"/>
          <w:sz w:val="44"/>
          <w:szCs w:val="44"/>
        </w:rPr>
      </w:pPr>
      <w:r>
        <w:rPr>
          <w:rFonts w:hint="eastAsia" w:ascii="宋体" w:hAnsi="宋体" w:cs="宋体"/>
          <w:b/>
          <w:bCs/>
          <w:color w:val="000000" w:themeColor="text1"/>
          <w:sz w:val="44"/>
          <w:szCs w:val="44"/>
        </w:rPr>
        <w:t>南通市养老服务指导中心电梯维保服务</w:t>
      </w:r>
    </w:p>
    <w:p w14:paraId="4E2A2107">
      <w:pPr>
        <w:snapToGrid w:val="0"/>
        <w:spacing w:line="360" w:lineRule="auto"/>
        <w:jc w:val="center"/>
        <w:rPr>
          <w:rFonts w:ascii="宋体"/>
          <w:b/>
          <w:bCs/>
          <w:color w:val="000000" w:themeColor="text1"/>
          <w:sz w:val="36"/>
          <w:szCs w:val="36"/>
        </w:rPr>
      </w:pPr>
      <w:r>
        <w:rPr>
          <w:rFonts w:hint="eastAsia" w:ascii="宋体" w:hAnsi="宋体" w:cs="宋体"/>
          <w:b/>
          <w:bCs/>
          <w:color w:val="000000" w:themeColor="text1"/>
          <w:sz w:val="44"/>
          <w:szCs w:val="44"/>
        </w:rPr>
        <w:t>项目</w:t>
      </w:r>
      <w:r>
        <w:rPr>
          <w:rFonts w:hint="eastAsia" w:ascii="宋体" w:hAnsi="宋体" w:cs="宋体"/>
          <w:b/>
          <w:bCs/>
          <w:color w:val="000000" w:themeColor="text1"/>
          <w:sz w:val="44"/>
          <w:szCs w:val="44"/>
          <w:lang w:eastAsia="zh-CN"/>
        </w:rPr>
        <w:t>比选</w:t>
      </w:r>
      <w:r>
        <w:rPr>
          <w:rFonts w:hint="eastAsia" w:ascii="宋体" w:hAnsi="宋体" w:cs="宋体"/>
          <w:b/>
          <w:bCs/>
          <w:color w:val="000000" w:themeColor="text1"/>
          <w:sz w:val="44"/>
          <w:szCs w:val="44"/>
        </w:rPr>
        <w:t>文件</w:t>
      </w:r>
    </w:p>
    <w:p w14:paraId="0649A1E5">
      <w:pPr>
        <w:snapToGrid w:val="0"/>
        <w:spacing w:line="360" w:lineRule="auto"/>
        <w:rPr>
          <w:rFonts w:ascii="宋体"/>
          <w:b/>
          <w:bCs/>
          <w:color w:val="000000" w:themeColor="text1"/>
          <w:sz w:val="36"/>
          <w:szCs w:val="36"/>
        </w:rPr>
      </w:pPr>
    </w:p>
    <w:p w14:paraId="268B5ADC">
      <w:pPr>
        <w:snapToGrid w:val="0"/>
        <w:spacing w:line="360" w:lineRule="auto"/>
        <w:rPr>
          <w:rFonts w:ascii="宋体"/>
          <w:b/>
          <w:bCs/>
          <w:color w:val="000000" w:themeColor="text1"/>
          <w:sz w:val="36"/>
          <w:szCs w:val="36"/>
        </w:rPr>
      </w:pPr>
    </w:p>
    <w:p w14:paraId="3CFE16EF">
      <w:pPr>
        <w:spacing w:line="360" w:lineRule="auto"/>
        <w:jc w:val="center"/>
        <w:rPr>
          <w:rFonts w:ascii="宋体"/>
          <w:b/>
          <w:bCs/>
          <w:color w:val="000000" w:themeColor="text1"/>
          <w:sz w:val="44"/>
          <w:szCs w:val="44"/>
        </w:rPr>
      </w:pPr>
    </w:p>
    <w:p w14:paraId="1CE385B3">
      <w:pPr>
        <w:spacing w:line="360" w:lineRule="auto"/>
        <w:jc w:val="center"/>
        <w:rPr>
          <w:rFonts w:ascii="宋体"/>
          <w:color w:val="000000" w:themeColor="text1"/>
        </w:rPr>
      </w:pPr>
    </w:p>
    <w:p w14:paraId="6B90DADD">
      <w:pPr>
        <w:pStyle w:val="3"/>
        <w:rPr>
          <w:rFonts w:ascii="宋体"/>
          <w:color w:val="000000" w:themeColor="text1"/>
        </w:rPr>
      </w:pPr>
    </w:p>
    <w:p w14:paraId="022E54FD">
      <w:pPr>
        <w:pStyle w:val="66"/>
      </w:pPr>
    </w:p>
    <w:p w14:paraId="0B4720F3">
      <w:pPr>
        <w:pStyle w:val="67"/>
      </w:pPr>
    </w:p>
    <w:p w14:paraId="2B96D38C"/>
    <w:p w14:paraId="1EEC7396"/>
    <w:p w14:paraId="09A7CDDC"/>
    <w:p w14:paraId="069A5B2D"/>
    <w:p w14:paraId="098A84EB"/>
    <w:p w14:paraId="05BAE5F9"/>
    <w:p w14:paraId="2321A948"/>
    <w:p w14:paraId="265249B5"/>
    <w:p w14:paraId="1F01B0E6"/>
    <w:p w14:paraId="5168F343"/>
    <w:p w14:paraId="6A9FDF86">
      <w:pPr>
        <w:snapToGrid w:val="0"/>
        <w:spacing w:line="360" w:lineRule="auto"/>
        <w:rPr>
          <w:rFonts w:ascii="宋体"/>
          <w:b/>
          <w:bCs/>
          <w:color w:val="000000" w:themeColor="text1"/>
          <w:sz w:val="36"/>
          <w:szCs w:val="36"/>
        </w:rPr>
      </w:pPr>
    </w:p>
    <w:p w14:paraId="434579EB">
      <w:pPr>
        <w:snapToGrid w:val="0"/>
        <w:spacing w:line="360" w:lineRule="auto"/>
        <w:rPr>
          <w:rFonts w:ascii="宋体"/>
          <w:b/>
          <w:bCs/>
          <w:color w:val="000000" w:themeColor="text1"/>
          <w:sz w:val="36"/>
          <w:szCs w:val="36"/>
        </w:rPr>
      </w:pPr>
    </w:p>
    <w:p w14:paraId="55DA7621">
      <w:pPr>
        <w:adjustRightInd w:val="0"/>
        <w:snapToGrid w:val="0"/>
        <w:spacing w:line="360" w:lineRule="auto"/>
        <w:ind w:firstLine="1958" w:firstLineChars="650"/>
        <w:rPr>
          <w:rFonts w:ascii="宋体" w:hAnsi="宋体" w:cs="宋体"/>
          <w:b/>
          <w:bCs/>
          <w:color w:val="000000" w:themeColor="text1"/>
          <w:sz w:val="30"/>
          <w:szCs w:val="30"/>
        </w:rPr>
      </w:pPr>
      <w:r>
        <w:rPr>
          <w:rFonts w:ascii="宋体" w:hAnsi="宋体" w:cs="宋体"/>
          <w:b/>
          <w:bCs/>
          <w:color w:val="000000" w:themeColor="text1"/>
          <w:sz w:val="30"/>
          <w:szCs w:val="30"/>
        </w:rPr>
        <w:t xml:space="preserve">  </w:t>
      </w:r>
      <w:r>
        <w:rPr>
          <w:rFonts w:hint="eastAsia" w:ascii="宋体" w:hAnsi="宋体" w:cs="宋体"/>
          <w:b/>
          <w:bCs/>
          <w:color w:val="000000" w:themeColor="text1"/>
          <w:sz w:val="30"/>
          <w:szCs w:val="30"/>
        </w:rPr>
        <w:t>采购单位：南通市养老服务指导中心</w:t>
      </w:r>
    </w:p>
    <w:p w14:paraId="52910C3A">
      <w:pPr>
        <w:adjustRightInd w:val="0"/>
        <w:snapToGrid w:val="0"/>
        <w:spacing w:line="360" w:lineRule="auto"/>
        <w:ind w:firstLine="3915" w:firstLineChars="1300"/>
        <w:jc w:val="both"/>
        <w:rPr>
          <w:rFonts w:ascii="宋体"/>
          <w:b/>
          <w:bCs/>
          <w:color w:val="000000" w:themeColor="text1"/>
          <w:sz w:val="30"/>
          <w:szCs w:val="30"/>
        </w:rPr>
        <w:sectPr>
          <w:pgSz w:w="11906" w:h="16838"/>
          <w:pgMar w:top="1440" w:right="1340" w:bottom="1440" w:left="1440" w:header="720" w:footer="720" w:gutter="0"/>
          <w:pgNumType w:start="0"/>
          <w:cols w:space="720" w:num="1"/>
        </w:sectPr>
      </w:pPr>
      <w:r>
        <w:rPr>
          <w:rFonts w:hint="eastAsia" w:ascii="宋体" w:hAnsi="宋体" w:cs="宋体"/>
          <w:b/>
          <w:bCs/>
          <w:color w:val="000000" w:themeColor="text1"/>
          <w:sz w:val="30"/>
          <w:szCs w:val="30"/>
        </w:rPr>
        <w:t>二〇二</w:t>
      </w:r>
      <w:r>
        <w:rPr>
          <w:rFonts w:hint="eastAsia" w:ascii="宋体" w:hAnsi="宋体" w:cs="宋体"/>
          <w:b/>
          <w:bCs/>
          <w:color w:val="000000" w:themeColor="text1"/>
          <w:sz w:val="30"/>
          <w:szCs w:val="30"/>
          <w:lang w:eastAsia="zh-CN"/>
        </w:rPr>
        <w:t>五</w:t>
      </w:r>
      <w:r>
        <w:rPr>
          <w:rFonts w:hint="eastAsia" w:ascii="宋体" w:hAnsi="宋体" w:cs="宋体"/>
          <w:b/>
          <w:bCs/>
          <w:color w:val="000000" w:themeColor="text1"/>
          <w:sz w:val="30"/>
          <w:szCs w:val="30"/>
        </w:rPr>
        <w:t>年五月</w:t>
      </w:r>
    </w:p>
    <w:p w14:paraId="440E7B35">
      <w:pPr>
        <w:spacing w:line="360" w:lineRule="auto"/>
        <w:jc w:val="center"/>
        <w:rPr>
          <w:rFonts w:ascii="宋体"/>
          <w:b/>
          <w:bCs/>
          <w:color w:val="000000" w:themeColor="text1"/>
          <w:sz w:val="44"/>
          <w:szCs w:val="44"/>
        </w:rPr>
      </w:pPr>
      <w:r>
        <w:rPr>
          <w:rFonts w:hint="eastAsia" w:ascii="宋体" w:hAnsi="宋体" w:cs="宋体"/>
          <w:b/>
          <w:bCs/>
          <w:color w:val="000000" w:themeColor="text1"/>
          <w:sz w:val="44"/>
          <w:szCs w:val="44"/>
        </w:rPr>
        <w:t>目</w:t>
      </w:r>
      <w:r>
        <w:rPr>
          <w:rFonts w:ascii="宋体" w:hAnsi="宋体" w:cs="宋体"/>
          <w:b/>
          <w:bCs/>
          <w:color w:val="000000" w:themeColor="text1"/>
          <w:sz w:val="44"/>
          <w:szCs w:val="44"/>
        </w:rPr>
        <w:t xml:space="preserve">      </w:t>
      </w:r>
      <w:r>
        <w:rPr>
          <w:rFonts w:hint="eastAsia" w:ascii="宋体" w:hAnsi="宋体" w:cs="宋体"/>
          <w:b/>
          <w:bCs/>
          <w:color w:val="000000" w:themeColor="text1"/>
          <w:sz w:val="44"/>
          <w:szCs w:val="44"/>
        </w:rPr>
        <w:t>录</w:t>
      </w:r>
    </w:p>
    <w:p w14:paraId="450E095E">
      <w:pPr>
        <w:spacing w:line="360" w:lineRule="auto"/>
        <w:rPr>
          <w:rFonts w:ascii="宋体"/>
          <w:b/>
          <w:bCs/>
          <w:color w:val="000000" w:themeColor="text1"/>
          <w:sz w:val="44"/>
          <w:szCs w:val="44"/>
        </w:rPr>
      </w:pPr>
    </w:p>
    <w:p w14:paraId="57BADBE2">
      <w:pPr>
        <w:pStyle w:val="35"/>
        <w:spacing w:line="360" w:lineRule="auto"/>
        <w:ind w:firstLine="220" w:firstLineChars="100"/>
        <w:jc w:val="left"/>
        <w:rPr>
          <w:rFonts w:ascii="宋体" w:cs="Times New Roman"/>
          <w:b/>
          <w:bCs/>
          <w:color w:val="000000" w:themeColor="text1"/>
          <w:sz w:val="28"/>
          <w:szCs w:val="28"/>
        </w:rPr>
      </w:pPr>
      <w:r>
        <w:fldChar w:fldCharType="begin"/>
      </w:r>
      <w:r>
        <w:instrText xml:space="preserve"> HYPERLINK \l "_Toc450137519" </w:instrText>
      </w:r>
      <w:r>
        <w:fldChar w:fldCharType="separate"/>
      </w:r>
      <w:r>
        <w:rPr>
          <w:rStyle w:val="125"/>
          <w:rFonts w:hint="eastAsia" w:ascii="宋体" w:cs="宋体"/>
          <w:b/>
          <w:bCs/>
          <w:color w:val="000000" w:themeColor="text1"/>
          <w:sz w:val="28"/>
          <w:szCs w:val="28"/>
        </w:rPr>
        <w:t>第一章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lang w:eastAsia="zh-CN"/>
        </w:rPr>
        <w:t>比选</w:t>
      </w:r>
      <w:r>
        <w:rPr>
          <w:rStyle w:val="125"/>
          <w:rFonts w:hint="eastAsia" w:ascii="宋体" w:cs="宋体"/>
          <w:b/>
          <w:bCs/>
          <w:color w:val="000000" w:themeColor="text1"/>
          <w:sz w:val="28"/>
          <w:szCs w:val="28"/>
        </w:rPr>
        <w:t>公告</w:t>
      </w:r>
      <w:r>
        <w:rPr>
          <w:rStyle w:val="125"/>
          <w:rFonts w:hint="eastAsia" w:ascii="宋体" w:cs="宋体"/>
          <w:b/>
          <w:bCs/>
          <w:color w:val="000000" w:themeColor="text1"/>
          <w:sz w:val="28"/>
          <w:szCs w:val="28"/>
        </w:rPr>
        <w:fldChar w:fldCharType="end"/>
      </w:r>
    </w:p>
    <w:p w14:paraId="1B4E29D8">
      <w:pPr>
        <w:pStyle w:val="35"/>
        <w:spacing w:line="360" w:lineRule="auto"/>
        <w:ind w:firstLine="220" w:firstLineChars="100"/>
        <w:jc w:val="left"/>
        <w:rPr>
          <w:rFonts w:ascii="宋体" w:cs="Times New Roman"/>
          <w:b/>
          <w:bCs/>
          <w:color w:val="000000" w:themeColor="text1"/>
          <w:sz w:val="28"/>
          <w:szCs w:val="28"/>
        </w:rPr>
      </w:pPr>
      <w:r>
        <w:fldChar w:fldCharType="begin"/>
      </w:r>
      <w:r>
        <w:instrText xml:space="preserve"> HYPERLINK \l "_Toc450137520" </w:instrText>
      </w:r>
      <w:r>
        <w:fldChar w:fldCharType="separate"/>
      </w:r>
      <w:r>
        <w:rPr>
          <w:rStyle w:val="125"/>
          <w:rFonts w:hint="eastAsia" w:ascii="宋体" w:cs="宋体"/>
          <w:b/>
          <w:bCs/>
          <w:color w:val="000000" w:themeColor="text1"/>
          <w:sz w:val="28"/>
          <w:szCs w:val="28"/>
        </w:rPr>
        <w:t>第二章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lang w:eastAsia="zh-CN"/>
        </w:rPr>
        <w:t>比选</w:t>
      </w:r>
      <w:r>
        <w:rPr>
          <w:rStyle w:val="125"/>
          <w:rFonts w:hint="eastAsia" w:ascii="宋体" w:cs="宋体"/>
          <w:b/>
          <w:bCs/>
          <w:color w:val="000000" w:themeColor="text1"/>
          <w:sz w:val="28"/>
          <w:szCs w:val="28"/>
        </w:rPr>
        <w:t>须知</w:t>
      </w:r>
      <w:r>
        <w:rPr>
          <w:rStyle w:val="125"/>
          <w:rFonts w:hint="eastAsia" w:ascii="宋体" w:cs="宋体"/>
          <w:b/>
          <w:bCs/>
          <w:color w:val="000000" w:themeColor="text1"/>
          <w:sz w:val="28"/>
          <w:szCs w:val="28"/>
        </w:rPr>
        <w:fldChar w:fldCharType="end"/>
      </w:r>
    </w:p>
    <w:p w14:paraId="219FF72C">
      <w:pPr>
        <w:pStyle w:val="35"/>
        <w:spacing w:line="360" w:lineRule="auto"/>
        <w:ind w:firstLine="220" w:firstLineChars="100"/>
        <w:jc w:val="left"/>
        <w:rPr>
          <w:rFonts w:ascii="宋体" w:cs="Times New Roman"/>
          <w:b/>
          <w:bCs/>
          <w:color w:val="000000" w:themeColor="text1"/>
          <w:sz w:val="28"/>
          <w:szCs w:val="28"/>
        </w:rPr>
      </w:pPr>
      <w:r>
        <w:fldChar w:fldCharType="begin"/>
      </w:r>
      <w:r>
        <w:instrText xml:space="preserve"> HYPERLINK \l "_Toc450137521" </w:instrText>
      </w:r>
      <w:r>
        <w:fldChar w:fldCharType="separate"/>
      </w:r>
      <w:r>
        <w:rPr>
          <w:rStyle w:val="125"/>
          <w:rFonts w:hint="eastAsia" w:ascii="宋体" w:cs="宋体"/>
          <w:b/>
          <w:bCs/>
          <w:color w:val="000000" w:themeColor="text1"/>
          <w:sz w:val="28"/>
          <w:szCs w:val="28"/>
        </w:rPr>
        <w:t>第三章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rPr>
        <w:t>项目需求</w:t>
      </w:r>
      <w:r>
        <w:rPr>
          <w:rStyle w:val="125"/>
          <w:rFonts w:hint="eastAsia" w:ascii="宋体" w:cs="宋体"/>
          <w:b/>
          <w:bCs/>
          <w:color w:val="000000" w:themeColor="text1"/>
          <w:sz w:val="28"/>
          <w:szCs w:val="28"/>
        </w:rPr>
        <w:fldChar w:fldCharType="end"/>
      </w:r>
    </w:p>
    <w:p w14:paraId="41E3C5D7">
      <w:pPr>
        <w:pStyle w:val="35"/>
        <w:spacing w:line="360" w:lineRule="auto"/>
        <w:ind w:firstLine="220" w:firstLineChars="100"/>
        <w:jc w:val="left"/>
        <w:rPr>
          <w:rFonts w:ascii="宋体" w:cs="Times New Roman"/>
          <w:b/>
          <w:bCs/>
          <w:color w:val="000000" w:themeColor="text1"/>
          <w:sz w:val="28"/>
          <w:szCs w:val="28"/>
        </w:rPr>
      </w:pPr>
      <w:r>
        <w:fldChar w:fldCharType="begin"/>
      </w:r>
      <w:r>
        <w:instrText xml:space="preserve"> HYPERLINK \l "_Toc450137522" </w:instrText>
      </w:r>
      <w:r>
        <w:fldChar w:fldCharType="separate"/>
      </w:r>
      <w:r>
        <w:rPr>
          <w:rStyle w:val="125"/>
          <w:rFonts w:hint="eastAsia" w:ascii="宋体" w:cs="宋体"/>
          <w:b/>
          <w:bCs/>
          <w:color w:val="000000" w:themeColor="text1"/>
          <w:sz w:val="28"/>
          <w:szCs w:val="28"/>
        </w:rPr>
        <w:t>第四章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rPr>
        <w:t>评审方法和程序</w:t>
      </w:r>
      <w:r>
        <w:rPr>
          <w:rStyle w:val="125"/>
          <w:rFonts w:hint="eastAsia" w:ascii="宋体" w:cs="宋体"/>
          <w:b/>
          <w:bCs/>
          <w:color w:val="000000" w:themeColor="text1"/>
          <w:sz w:val="28"/>
          <w:szCs w:val="28"/>
        </w:rPr>
        <w:fldChar w:fldCharType="end"/>
      </w:r>
    </w:p>
    <w:p w14:paraId="1D4BACE5">
      <w:pPr>
        <w:pStyle w:val="35"/>
        <w:spacing w:line="360" w:lineRule="auto"/>
        <w:ind w:firstLine="220" w:firstLineChars="100"/>
        <w:jc w:val="left"/>
        <w:rPr>
          <w:rFonts w:hint="eastAsia" w:ascii="宋体" w:eastAsia="宋体" w:cs="Times New Roman"/>
          <w:b/>
          <w:bCs/>
          <w:color w:val="000000" w:themeColor="text1"/>
          <w:sz w:val="28"/>
          <w:szCs w:val="28"/>
          <w:lang w:eastAsia="zh-CN"/>
        </w:rPr>
      </w:pPr>
      <w:r>
        <w:fldChar w:fldCharType="begin"/>
      </w:r>
      <w:r>
        <w:instrText xml:space="preserve"> HYPERLINK \l "_Toc450137524" </w:instrText>
      </w:r>
      <w:r>
        <w:fldChar w:fldCharType="separate"/>
      </w:r>
      <w:r>
        <w:rPr>
          <w:rStyle w:val="125"/>
          <w:rFonts w:hint="eastAsia" w:ascii="宋体" w:cs="宋体"/>
          <w:b/>
          <w:bCs/>
          <w:color w:val="000000" w:themeColor="text1"/>
          <w:sz w:val="28"/>
          <w:szCs w:val="28"/>
        </w:rPr>
        <w:t>第</w:t>
      </w:r>
      <w:r>
        <w:rPr>
          <w:rStyle w:val="125"/>
          <w:rFonts w:hint="eastAsia" w:ascii="宋体" w:cs="宋体"/>
          <w:b/>
          <w:bCs/>
          <w:color w:val="000000" w:themeColor="text1"/>
          <w:sz w:val="28"/>
          <w:szCs w:val="28"/>
          <w:lang w:eastAsia="zh-CN"/>
        </w:rPr>
        <w:t>五</w:t>
      </w:r>
      <w:r>
        <w:rPr>
          <w:rStyle w:val="125"/>
          <w:rFonts w:hint="eastAsia" w:ascii="宋体" w:cs="宋体"/>
          <w:b/>
          <w:bCs/>
          <w:color w:val="000000" w:themeColor="text1"/>
          <w:sz w:val="28"/>
          <w:szCs w:val="28"/>
        </w:rPr>
        <w:t>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rPr>
        <w:t>合同</w:t>
      </w:r>
      <w:r>
        <w:rPr>
          <w:rStyle w:val="125"/>
          <w:rFonts w:hint="eastAsia" w:ascii="宋体" w:cs="宋体"/>
          <w:b/>
          <w:bCs/>
          <w:color w:val="000000" w:themeColor="text1"/>
          <w:sz w:val="28"/>
          <w:szCs w:val="28"/>
          <w:lang w:eastAsia="zh-CN"/>
        </w:rPr>
        <w:t>签</w:t>
      </w:r>
      <w:r>
        <w:rPr>
          <w:rStyle w:val="125"/>
          <w:rFonts w:hint="eastAsia" w:ascii="宋体" w:cs="宋体"/>
          <w:b/>
          <w:bCs/>
          <w:color w:val="000000" w:themeColor="text1"/>
          <w:sz w:val="28"/>
          <w:szCs w:val="28"/>
        </w:rPr>
        <w:fldChar w:fldCharType="end"/>
      </w:r>
      <w:r>
        <w:rPr>
          <w:rStyle w:val="125"/>
          <w:rFonts w:hint="eastAsia" w:ascii="宋体" w:cs="宋体"/>
          <w:b/>
          <w:bCs/>
          <w:color w:val="000000" w:themeColor="text1"/>
          <w:sz w:val="28"/>
          <w:szCs w:val="28"/>
          <w:lang w:eastAsia="zh-CN"/>
        </w:rPr>
        <w:t>订与验收</w:t>
      </w:r>
    </w:p>
    <w:p w14:paraId="4E85F06D">
      <w:pPr>
        <w:pStyle w:val="35"/>
        <w:spacing w:line="360" w:lineRule="auto"/>
        <w:ind w:firstLine="220" w:firstLineChars="100"/>
        <w:jc w:val="left"/>
        <w:rPr>
          <w:rFonts w:ascii="宋体" w:cs="Times New Roman"/>
          <w:b/>
          <w:bCs/>
          <w:color w:val="000000" w:themeColor="text1"/>
          <w:sz w:val="28"/>
          <w:szCs w:val="28"/>
        </w:rPr>
      </w:pPr>
      <w:r>
        <w:fldChar w:fldCharType="begin"/>
      </w:r>
      <w:r>
        <w:instrText xml:space="preserve"> HYPERLINK \l "_Toc450137525" </w:instrText>
      </w:r>
      <w:r>
        <w:fldChar w:fldCharType="separate"/>
      </w:r>
      <w:r>
        <w:rPr>
          <w:rStyle w:val="125"/>
          <w:rFonts w:hint="eastAsia" w:ascii="宋体" w:cs="宋体"/>
          <w:b/>
          <w:bCs/>
          <w:color w:val="000000" w:themeColor="text1"/>
          <w:sz w:val="28"/>
          <w:szCs w:val="28"/>
        </w:rPr>
        <w:t>第</w:t>
      </w:r>
      <w:r>
        <w:rPr>
          <w:rStyle w:val="125"/>
          <w:rFonts w:hint="eastAsia" w:ascii="宋体" w:cs="宋体"/>
          <w:b/>
          <w:bCs/>
          <w:color w:val="000000" w:themeColor="text1"/>
          <w:sz w:val="28"/>
          <w:szCs w:val="28"/>
          <w:lang w:eastAsia="zh-CN"/>
        </w:rPr>
        <w:t>六</w:t>
      </w:r>
      <w:r>
        <w:rPr>
          <w:rStyle w:val="125"/>
          <w:rFonts w:hint="eastAsia" w:ascii="宋体" w:cs="宋体"/>
          <w:b/>
          <w:bCs/>
          <w:color w:val="000000" w:themeColor="text1"/>
          <w:sz w:val="28"/>
          <w:szCs w:val="28"/>
        </w:rPr>
        <w:t>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rPr>
        <w:t>质疑与投诉</w:t>
      </w:r>
      <w:r>
        <w:rPr>
          <w:rStyle w:val="125"/>
          <w:rFonts w:hint="eastAsia" w:ascii="宋体" w:cs="宋体"/>
          <w:b/>
          <w:bCs/>
          <w:color w:val="000000" w:themeColor="text1"/>
          <w:sz w:val="28"/>
          <w:szCs w:val="28"/>
        </w:rPr>
        <w:fldChar w:fldCharType="end"/>
      </w:r>
    </w:p>
    <w:p w14:paraId="51699AEA">
      <w:pPr>
        <w:pStyle w:val="35"/>
        <w:spacing w:line="360" w:lineRule="auto"/>
        <w:ind w:firstLine="220" w:firstLineChars="100"/>
        <w:jc w:val="left"/>
        <w:rPr>
          <w:rFonts w:ascii="宋体" w:cs="Times New Roman"/>
          <w:b/>
          <w:bCs/>
          <w:color w:val="000000" w:themeColor="text1"/>
          <w:sz w:val="28"/>
          <w:szCs w:val="28"/>
        </w:rPr>
      </w:pPr>
      <w:r>
        <w:fldChar w:fldCharType="begin"/>
      </w:r>
      <w:r>
        <w:instrText xml:space="preserve"> HYPERLINK \l "_Toc450137526" </w:instrText>
      </w:r>
      <w:r>
        <w:fldChar w:fldCharType="separate"/>
      </w:r>
      <w:r>
        <w:rPr>
          <w:rStyle w:val="125"/>
          <w:rFonts w:hint="eastAsia" w:ascii="宋体" w:cs="宋体"/>
          <w:b/>
          <w:bCs/>
          <w:color w:val="000000" w:themeColor="text1"/>
          <w:sz w:val="28"/>
          <w:szCs w:val="28"/>
        </w:rPr>
        <w:t>第</w:t>
      </w:r>
      <w:r>
        <w:rPr>
          <w:rStyle w:val="125"/>
          <w:rFonts w:hint="eastAsia" w:ascii="宋体" w:cs="宋体"/>
          <w:b/>
          <w:bCs/>
          <w:color w:val="000000" w:themeColor="text1"/>
          <w:sz w:val="28"/>
          <w:szCs w:val="28"/>
          <w:lang w:eastAsia="zh-CN"/>
        </w:rPr>
        <w:t>七</w:t>
      </w:r>
      <w:r>
        <w:rPr>
          <w:rStyle w:val="125"/>
          <w:rFonts w:hint="eastAsia" w:ascii="宋体" w:cs="宋体"/>
          <w:b/>
          <w:bCs/>
          <w:color w:val="000000" w:themeColor="text1"/>
          <w:sz w:val="28"/>
          <w:szCs w:val="28"/>
        </w:rPr>
        <w:t>章</w:t>
      </w:r>
      <w:r>
        <w:rPr>
          <w:rStyle w:val="125"/>
          <w:rFonts w:ascii="宋体" w:cs="宋体"/>
          <w:b/>
          <w:bCs/>
          <w:color w:val="000000" w:themeColor="text1"/>
          <w:sz w:val="28"/>
          <w:szCs w:val="28"/>
        </w:rPr>
        <w:t xml:space="preserve"> </w:t>
      </w:r>
      <w:r>
        <w:rPr>
          <w:rStyle w:val="125"/>
          <w:rFonts w:hint="eastAsia" w:ascii="宋体" w:cs="宋体"/>
          <w:b/>
          <w:bCs/>
          <w:color w:val="000000" w:themeColor="text1"/>
          <w:sz w:val="28"/>
          <w:szCs w:val="28"/>
          <w:lang w:eastAsia="zh-CN"/>
        </w:rPr>
        <w:t>比选</w:t>
      </w:r>
      <w:r>
        <w:rPr>
          <w:rStyle w:val="125"/>
          <w:rFonts w:hint="eastAsia" w:ascii="宋体" w:cs="宋体"/>
          <w:b/>
          <w:bCs/>
          <w:color w:val="000000" w:themeColor="text1"/>
          <w:sz w:val="28"/>
          <w:szCs w:val="28"/>
        </w:rPr>
        <w:t>响应文件组成及格式</w:t>
      </w:r>
      <w:r>
        <w:rPr>
          <w:rStyle w:val="125"/>
          <w:rFonts w:hint="eastAsia" w:ascii="宋体" w:cs="宋体"/>
          <w:b/>
          <w:bCs/>
          <w:color w:val="000000" w:themeColor="text1"/>
          <w:sz w:val="28"/>
          <w:szCs w:val="28"/>
        </w:rPr>
        <w:fldChar w:fldCharType="end"/>
      </w:r>
    </w:p>
    <w:p w14:paraId="202A6566">
      <w:pPr>
        <w:snapToGrid w:val="0"/>
        <w:spacing w:line="360" w:lineRule="auto"/>
        <w:rPr>
          <w:rFonts w:ascii="宋体"/>
          <w:b/>
          <w:bCs/>
          <w:color w:val="000000" w:themeColor="text1"/>
        </w:rPr>
      </w:pPr>
      <w:r>
        <w:rPr>
          <w:rFonts w:ascii="宋体"/>
          <w:b/>
          <w:bCs/>
          <w:color w:val="000000" w:themeColor="text1"/>
        </w:rPr>
        <w:br w:type="page"/>
      </w:r>
    </w:p>
    <w:p w14:paraId="68AE4BF2">
      <w:pPr>
        <w:pStyle w:val="154"/>
        <w:spacing w:before="312" w:after="312" w:line="320" w:lineRule="atLeast"/>
        <w:rPr>
          <w:rFonts w:ascii="宋体" w:eastAsia="宋体" w:cs="Times New Roman"/>
          <w:color w:val="000000" w:themeColor="text1"/>
          <w:sz w:val="36"/>
          <w:szCs w:val="36"/>
        </w:rPr>
      </w:pPr>
      <w:r>
        <w:rPr>
          <w:rFonts w:hint="eastAsia" w:ascii="宋体" w:eastAsia="宋体" w:cs="宋体"/>
          <w:color w:val="000000" w:themeColor="text1"/>
          <w:sz w:val="36"/>
          <w:szCs w:val="36"/>
        </w:rPr>
        <w:t>第一章</w:t>
      </w:r>
      <w:r>
        <w:rPr>
          <w:rFonts w:ascii="宋体" w:eastAsia="宋体" w:cs="宋体"/>
          <w:color w:val="000000" w:themeColor="text1"/>
          <w:sz w:val="36"/>
          <w:szCs w:val="36"/>
        </w:rPr>
        <w:t xml:space="preserve">  </w:t>
      </w:r>
      <w:r>
        <w:rPr>
          <w:rFonts w:hint="eastAsia" w:ascii="宋体" w:eastAsia="宋体" w:cs="宋体"/>
          <w:color w:val="000000" w:themeColor="text1"/>
          <w:sz w:val="36"/>
          <w:szCs w:val="36"/>
          <w:lang w:eastAsia="zh-CN"/>
        </w:rPr>
        <w:t>比选</w:t>
      </w:r>
      <w:r>
        <w:rPr>
          <w:rFonts w:hint="eastAsia" w:ascii="宋体" w:eastAsia="宋体" w:cs="宋体"/>
          <w:color w:val="000000" w:themeColor="text1"/>
          <w:sz w:val="36"/>
          <w:szCs w:val="36"/>
        </w:rPr>
        <w:t>公告</w:t>
      </w:r>
    </w:p>
    <w:p w14:paraId="069C89CD">
      <w:pPr>
        <w:widowControl/>
        <w:shd w:val="clear" w:color="auto" w:fill="FFFFFF"/>
        <w:spacing w:line="440" w:lineRule="exact"/>
        <w:ind w:firstLine="482" w:firstLineChars="200"/>
        <w:jc w:val="left"/>
        <w:rPr>
          <w:rFonts w:ascii="宋体" w:hAnsi="宋体" w:cs="宋体"/>
          <w:b/>
          <w:color w:val="000000"/>
          <w:kern w:val="0"/>
          <w:sz w:val="24"/>
          <w:szCs w:val="24"/>
          <w:shd w:val="clear" w:color="auto" w:fill="FFFFFF"/>
        </w:rPr>
      </w:pPr>
      <w:bookmarkStart w:id="1" w:name="_Toc182848970"/>
      <w:r>
        <w:rPr>
          <w:rFonts w:ascii="宋体" w:hAnsi="宋体" w:cs="宋体"/>
          <w:b/>
          <w:color w:val="000000"/>
          <w:kern w:val="0"/>
          <w:sz w:val="24"/>
          <w:szCs w:val="24"/>
          <w:shd w:val="clear" w:color="auto" w:fill="FFFFFF"/>
        </w:rPr>
        <w:t>项目概况</w:t>
      </w:r>
    </w:p>
    <w:p w14:paraId="28A39F52">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sz w:val="28"/>
          <w:szCs w:val="28"/>
        </w:rPr>
        <w:t>南通市养老服务指导中心电梯维保服务项目投标响应的潜在供应商应至“南通市民政局网站”（http://mzj.nantong.gov.cn/）获取采购文件，并于</w:t>
      </w:r>
      <w:r>
        <w:rPr>
          <w:rFonts w:hint="eastAsia" w:ascii="宋体" w:hAnsi="宋体" w:eastAsia="宋体" w:cs="宋体"/>
          <w:color w:val="auto"/>
          <w:sz w:val="28"/>
          <w:szCs w:val="28"/>
          <w:lang w:val="en-US" w:eastAsia="zh-CN"/>
        </w:rPr>
        <w:t>2025年05月</w:t>
      </w:r>
      <w:r>
        <w:rPr>
          <w:rFonts w:hint="eastAsia" w:ascii="宋体" w:hAnsi="宋体" w:cs="宋体"/>
          <w:color w:val="auto"/>
          <w:sz w:val="28"/>
          <w:szCs w:val="28"/>
          <w:lang w:val="en-US" w:eastAsia="zh-CN"/>
        </w:rPr>
        <w:t>30</w:t>
      </w:r>
      <w:r>
        <w:rPr>
          <w:rFonts w:hint="eastAsia" w:ascii="宋体" w:hAnsi="宋体" w:eastAsia="宋体" w:cs="宋体"/>
          <w:color w:val="auto"/>
          <w:sz w:val="28"/>
          <w:szCs w:val="28"/>
          <w:lang w:val="en-US" w:eastAsia="zh-CN"/>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时30分</w:t>
      </w:r>
      <w:r>
        <w:rPr>
          <w:rFonts w:hint="eastAsia" w:ascii="宋体" w:hAnsi="宋体" w:eastAsia="宋体" w:cs="宋体"/>
          <w:color w:val="auto"/>
          <w:sz w:val="28"/>
          <w:szCs w:val="28"/>
        </w:rPr>
        <w:t>（北京时间）前提交响应文件。</w:t>
      </w:r>
    </w:p>
    <w:p w14:paraId="782136B4">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rPr>
        <w:t>一、项目基本情况</w:t>
      </w:r>
    </w:p>
    <w:p w14:paraId="3F185BC2">
      <w:pPr>
        <w:adjustRightInd w:val="0"/>
        <w:snapToGrid w:val="0"/>
        <w:spacing w:line="460" w:lineRule="exact"/>
        <w:ind w:firstLine="560" w:firstLineChars="200"/>
        <w:rPr>
          <w:rFonts w:hint="eastAsia" w:ascii="宋体" w:hAnsi="宋体" w:cs="宋体"/>
          <w:sz w:val="28"/>
          <w:szCs w:val="28"/>
          <w:lang w:eastAsia="zh-CN"/>
        </w:rPr>
      </w:pPr>
      <w:r>
        <w:rPr>
          <w:rFonts w:hint="eastAsia" w:ascii="宋体" w:hAnsi="宋体" w:cs="宋体"/>
          <w:sz w:val="28"/>
          <w:szCs w:val="28"/>
        </w:rPr>
        <w:t>项目名称：南通市养老服务指导中心电梯维保服务项目</w:t>
      </w:r>
      <w:r>
        <w:rPr>
          <w:rFonts w:hint="eastAsia" w:ascii="宋体" w:hAnsi="宋体" w:cs="宋体"/>
          <w:sz w:val="28"/>
          <w:szCs w:val="28"/>
          <w:lang w:val="en-US" w:eastAsia="zh-CN"/>
        </w:rPr>
        <w:t xml:space="preserve"> </w:t>
      </w:r>
    </w:p>
    <w:p w14:paraId="0A891D2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预算金额：1</w:t>
      </w:r>
      <w:r>
        <w:rPr>
          <w:rFonts w:hint="eastAsia" w:ascii="宋体" w:hAnsi="宋体" w:cs="宋体"/>
          <w:sz w:val="28"/>
          <w:szCs w:val="28"/>
          <w:lang w:val="en-US" w:eastAsia="zh-CN"/>
        </w:rPr>
        <w:t>44</w:t>
      </w:r>
      <w:r>
        <w:rPr>
          <w:rFonts w:hint="eastAsia" w:ascii="宋体" w:hAnsi="宋体" w:cs="宋体"/>
          <w:sz w:val="28"/>
          <w:szCs w:val="28"/>
        </w:rPr>
        <w:t>00元，报价超过采购预算的为无效响应文件。</w:t>
      </w:r>
    </w:p>
    <w:p w14:paraId="5A67E986">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采购需求：详见</w:t>
      </w:r>
      <w:r>
        <w:rPr>
          <w:rFonts w:hint="eastAsia" w:ascii="宋体" w:hAnsi="宋体" w:cs="宋体"/>
          <w:sz w:val="28"/>
          <w:szCs w:val="28"/>
          <w:lang w:eastAsia="zh-CN"/>
        </w:rPr>
        <w:t>比选</w:t>
      </w:r>
      <w:r>
        <w:rPr>
          <w:rFonts w:hint="eastAsia" w:ascii="宋体" w:hAnsi="宋体" w:cs="宋体"/>
          <w:sz w:val="28"/>
          <w:szCs w:val="28"/>
        </w:rPr>
        <w:t>文件第三章</w:t>
      </w:r>
    </w:p>
    <w:p w14:paraId="0E9A38B9">
      <w:pPr>
        <w:widowControl/>
        <w:spacing w:line="460" w:lineRule="exact"/>
        <w:ind w:firstLine="560"/>
        <w:rPr>
          <w:rFonts w:hint="eastAsia" w:ascii="宋体" w:hAnsi="宋体" w:cs="宋体"/>
          <w:color w:val="auto"/>
          <w:sz w:val="28"/>
          <w:szCs w:val="28"/>
        </w:rPr>
      </w:pPr>
      <w:r>
        <w:rPr>
          <w:rFonts w:hint="eastAsia" w:ascii="宋体" w:hAnsi="宋体" w:cs="宋体"/>
          <w:color w:val="auto"/>
          <w:sz w:val="28"/>
          <w:szCs w:val="28"/>
        </w:rPr>
        <w:t>履行期限：</w:t>
      </w:r>
      <w:r>
        <w:rPr>
          <w:rFonts w:hint="eastAsia" w:ascii="宋体" w:hAnsi="宋体" w:eastAsia="宋体" w:cs="宋体"/>
          <w:color w:val="auto"/>
          <w:sz w:val="28"/>
          <w:szCs w:val="28"/>
          <w:lang w:eastAsia="zh-CN"/>
        </w:rPr>
        <w:t>自合同签订之日起一年。本次招标服务费为一年费用，合同一年一签。中标人在合同期内服务质量好，经考核合格，在价格等所有条款不发生变化的情况下，可以采取1+N年［N≤2］方式续签合同，续签合同一年一签。</w:t>
      </w:r>
    </w:p>
    <w:p w14:paraId="5FAFCED7">
      <w:pPr>
        <w:adjustRightInd w:val="0"/>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二、</w:t>
      </w:r>
      <w:r>
        <w:rPr>
          <w:rFonts w:hint="eastAsia" w:ascii="宋体" w:hAnsi="宋体" w:cs="宋体"/>
          <w:b/>
          <w:sz w:val="28"/>
          <w:szCs w:val="28"/>
          <w:lang w:eastAsia="zh-CN"/>
        </w:rPr>
        <w:t>供应商</w:t>
      </w:r>
      <w:r>
        <w:rPr>
          <w:rFonts w:hint="eastAsia" w:ascii="宋体" w:hAnsi="宋体" w:cs="宋体"/>
          <w:b/>
          <w:sz w:val="28"/>
          <w:szCs w:val="28"/>
        </w:rPr>
        <w:t>的资格要求：</w:t>
      </w:r>
    </w:p>
    <w:p w14:paraId="35F5F71B">
      <w:pPr>
        <w:adjustRightInd w:val="0"/>
        <w:snapToGrid w:val="0"/>
        <w:spacing w:line="46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1.参选供应商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14:paraId="231F5AFE">
      <w:pPr>
        <w:adjustRightInd w:val="0"/>
        <w:snapToGrid w:val="0"/>
        <w:spacing w:line="460" w:lineRule="exact"/>
        <w:ind w:firstLine="560" w:firstLineChars="200"/>
        <w:rPr>
          <w:rFonts w:hint="eastAsia" w:ascii="宋体" w:hAnsi="宋体" w:cs="宋体"/>
          <w:sz w:val="28"/>
          <w:szCs w:val="28"/>
          <w:lang w:eastAsia="zh-CN"/>
        </w:rPr>
      </w:pPr>
      <w:r>
        <w:rPr>
          <w:rFonts w:hint="eastAsia" w:ascii="宋体" w:hAnsi="宋体" w:cs="宋体"/>
          <w:sz w:val="28"/>
          <w:szCs w:val="28"/>
          <w:lang w:eastAsia="zh-CN"/>
        </w:rPr>
        <w:t>2.未被“信用中国”网站（www.creditchina.gov.cn）、“中国政府采购网”（www.ccgp.gov.cn）列入失信被执行人、重大税收违法案件当事人名单、政府采购严重违法失信行为记录名单。</w:t>
      </w:r>
    </w:p>
    <w:p w14:paraId="1463A7B3">
      <w:pPr>
        <w:adjustRightInd w:val="0"/>
        <w:snapToGrid w:val="0"/>
        <w:spacing w:line="460" w:lineRule="exact"/>
        <w:ind w:firstLine="560" w:firstLineChars="200"/>
        <w:rPr>
          <w:rFonts w:hint="eastAsia" w:ascii="微软雅黑" w:hAnsi="微软雅黑" w:eastAsia="微软雅黑" w:cs="微软雅黑"/>
          <w:i w:val="0"/>
          <w:iCs w:val="0"/>
          <w:caps w:val="0"/>
          <w:color w:val="333333"/>
          <w:spacing w:val="0"/>
          <w:sz w:val="27"/>
          <w:szCs w:val="27"/>
          <w:shd w:val="clear" w:fill="FFFFFF"/>
          <w:lang w:eastAsia="zh-CN"/>
        </w:rPr>
      </w:pPr>
      <w:r>
        <w:rPr>
          <w:rFonts w:hint="eastAsia" w:ascii="宋体" w:hAnsi="宋体" w:cs="宋体"/>
          <w:sz w:val="28"/>
          <w:szCs w:val="28"/>
          <w:lang w:eastAsia="zh-CN"/>
        </w:rPr>
        <w:t>3.本项目的特定资格要求：</w:t>
      </w:r>
      <w:r>
        <w:rPr>
          <w:rFonts w:ascii="微软雅黑" w:hAnsi="微软雅黑" w:eastAsia="微软雅黑" w:cs="微软雅黑"/>
          <w:i w:val="0"/>
          <w:iCs w:val="0"/>
          <w:caps w:val="0"/>
          <w:color w:val="333333"/>
          <w:spacing w:val="0"/>
          <w:sz w:val="27"/>
          <w:szCs w:val="27"/>
          <w:shd w:val="clear" w:fill="FFFFFF"/>
        </w:rPr>
        <w:t>具有有效的特种设备安装改造维修许可证（包含乘客电梯安装改造维修种类）或特种设备生产许可证（包含乘客电梯安装修理）</w:t>
      </w:r>
      <w:r>
        <w:rPr>
          <w:rFonts w:hint="eastAsia" w:ascii="微软雅黑" w:hAnsi="微软雅黑" w:eastAsia="微软雅黑" w:cs="微软雅黑"/>
          <w:i w:val="0"/>
          <w:iCs w:val="0"/>
          <w:caps w:val="0"/>
          <w:color w:val="333333"/>
          <w:spacing w:val="0"/>
          <w:sz w:val="27"/>
          <w:szCs w:val="27"/>
          <w:shd w:val="clear" w:fill="FFFFFF"/>
          <w:lang w:eastAsia="zh-CN"/>
        </w:rPr>
        <w:t>。</w:t>
      </w:r>
    </w:p>
    <w:p w14:paraId="43FE802D">
      <w:pPr>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若投标人为法人单位的分公司或分支关联机构，必须是由总公司授权的分公司或分支关联机构参加投标，且只能授权一家分公司或分支关联机构参加投标。同时授权两家或以上分公司或分支关联机构参加投标的、总公司与被授权分公司或分支关联机构同时参加投标的，均作无效标处理。</w:t>
      </w:r>
    </w:p>
    <w:p w14:paraId="4DCD3816">
      <w:pPr>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5</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本项目不接受联合体投标。</w:t>
      </w:r>
    </w:p>
    <w:p w14:paraId="5A44DD5E">
      <w:pPr>
        <w:adjustRightInd w:val="0"/>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三、获取</w:t>
      </w:r>
      <w:r>
        <w:rPr>
          <w:rFonts w:hint="eastAsia" w:ascii="宋体" w:hAnsi="宋体" w:cs="宋体"/>
          <w:b/>
          <w:sz w:val="28"/>
          <w:szCs w:val="28"/>
          <w:lang w:eastAsia="zh-CN"/>
        </w:rPr>
        <w:t>比选</w:t>
      </w:r>
      <w:r>
        <w:rPr>
          <w:rFonts w:hint="eastAsia" w:ascii="宋体" w:hAnsi="宋体" w:cs="宋体"/>
          <w:b/>
          <w:sz w:val="28"/>
          <w:szCs w:val="28"/>
        </w:rPr>
        <w:t>文件</w:t>
      </w:r>
    </w:p>
    <w:p w14:paraId="3DE4DB9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时间：202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5</w:t>
      </w:r>
      <w:r>
        <w:rPr>
          <w:rFonts w:hint="eastAsia" w:ascii="宋体" w:hAnsi="宋体" w:cs="宋体"/>
          <w:color w:val="auto"/>
          <w:sz w:val="28"/>
          <w:szCs w:val="28"/>
        </w:rPr>
        <w:t>月</w:t>
      </w:r>
      <w:r>
        <w:rPr>
          <w:rFonts w:hint="eastAsia" w:ascii="宋体" w:hAnsi="宋体" w:cs="宋体"/>
          <w:color w:val="auto"/>
          <w:sz w:val="28"/>
          <w:szCs w:val="28"/>
          <w:lang w:val="en-US" w:eastAsia="zh-CN"/>
        </w:rPr>
        <w:t>23</w:t>
      </w:r>
      <w:r>
        <w:rPr>
          <w:rFonts w:hint="eastAsia" w:ascii="宋体" w:hAnsi="宋体" w:cs="宋体"/>
          <w:color w:val="auto"/>
          <w:sz w:val="28"/>
          <w:szCs w:val="28"/>
        </w:rPr>
        <w:t>日至202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5</w:t>
      </w:r>
      <w:r>
        <w:rPr>
          <w:rFonts w:hint="eastAsia" w:ascii="宋体" w:hAnsi="宋体" w:cs="宋体"/>
          <w:color w:val="auto"/>
          <w:sz w:val="28"/>
          <w:szCs w:val="28"/>
        </w:rPr>
        <w:t>月</w:t>
      </w:r>
      <w:r>
        <w:rPr>
          <w:rFonts w:hint="eastAsia" w:ascii="宋体" w:hAnsi="宋体" w:cs="宋体"/>
          <w:color w:val="auto"/>
          <w:sz w:val="28"/>
          <w:szCs w:val="28"/>
          <w:lang w:val="en-US" w:eastAsia="zh-CN"/>
        </w:rPr>
        <w:t>30</w:t>
      </w:r>
      <w:r>
        <w:rPr>
          <w:rFonts w:hint="eastAsia" w:ascii="宋体" w:hAnsi="宋体" w:cs="宋体"/>
          <w:color w:val="auto"/>
          <w:sz w:val="28"/>
          <w:szCs w:val="28"/>
        </w:rPr>
        <w:t>日。</w:t>
      </w:r>
    </w:p>
    <w:p w14:paraId="6C89814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地点：南通市民政局网站（http://mzj.nantong.gov.cn/）</w:t>
      </w:r>
    </w:p>
    <w:p w14:paraId="3AB86C9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 xml:space="preserve">方式：自行下载，无需报名。  </w:t>
      </w:r>
    </w:p>
    <w:p w14:paraId="4ADC018E">
      <w:pPr>
        <w:adjustRightInd w:val="0"/>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四、响应文件提交</w:t>
      </w:r>
    </w:p>
    <w:p w14:paraId="4741F9F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截止时间：202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5</w:t>
      </w:r>
      <w:r>
        <w:rPr>
          <w:rFonts w:hint="eastAsia" w:ascii="宋体" w:hAnsi="宋体" w:cs="宋体"/>
          <w:color w:val="auto"/>
          <w:sz w:val="28"/>
          <w:szCs w:val="28"/>
        </w:rPr>
        <w:t>月</w:t>
      </w:r>
      <w:r>
        <w:rPr>
          <w:rFonts w:hint="eastAsia" w:ascii="宋体" w:hAnsi="宋体" w:cs="宋体"/>
          <w:color w:val="auto"/>
          <w:sz w:val="28"/>
          <w:szCs w:val="28"/>
          <w:lang w:val="en-US" w:eastAsia="zh-CN"/>
        </w:rPr>
        <w:t>30</w:t>
      </w:r>
      <w:r>
        <w:rPr>
          <w:rFonts w:hint="eastAsia" w:ascii="宋体" w:hAnsi="宋体" w:cs="宋体"/>
          <w:color w:val="auto"/>
          <w:sz w:val="28"/>
          <w:szCs w:val="28"/>
        </w:rPr>
        <w:t>日</w:t>
      </w:r>
      <w:r>
        <w:rPr>
          <w:rFonts w:hint="eastAsia" w:ascii="宋体" w:hAnsi="宋体" w:cs="宋体"/>
          <w:color w:val="auto"/>
          <w:sz w:val="28"/>
          <w:szCs w:val="28"/>
          <w:lang w:val="en-US" w:eastAsia="zh-CN"/>
        </w:rPr>
        <w:t>9</w:t>
      </w:r>
      <w:r>
        <w:rPr>
          <w:rFonts w:hint="eastAsia" w:ascii="宋体" w:hAnsi="宋体" w:cs="宋体"/>
          <w:color w:val="auto"/>
          <w:sz w:val="28"/>
          <w:szCs w:val="28"/>
        </w:rPr>
        <w:t>点30分（北京时间）</w:t>
      </w:r>
    </w:p>
    <w:p w14:paraId="198B1F0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color w:val="auto"/>
          <w:sz w:val="28"/>
          <w:szCs w:val="28"/>
        </w:rPr>
        <w:t>逾时</w:t>
      </w:r>
      <w:r>
        <w:rPr>
          <w:rFonts w:hint="eastAsia" w:ascii="宋体" w:hAnsi="宋体" w:cs="宋体"/>
          <w:sz w:val="28"/>
          <w:szCs w:val="28"/>
        </w:rPr>
        <w:t>，截止时间后送达的响应文件为采购人将拒收。</w:t>
      </w:r>
    </w:p>
    <w:p w14:paraId="5BF3CA4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地点：</w:t>
      </w:r>
      <w:r>
        <w:rPr>
          <w:rFonts w:hint="eastAsia" w:ascii="宋体" w:hAnsi="宋体" w:cs="宋体"/>
          <w:b/>
          <w:bCs/>
          <w:sz w:val="28"/>
          <w:szCs w:val="28"/>
          <w:u w:val="single"/>
        </w:rPr>
        <w:t>南通市养老服务指导中心D幢三楼会议室</w:t>
      </w:r>
      <w:r>
        <w:rPr>
          <w:rFonts w:hint="eastAsia" w:ascii="宋体" w:hAnsi="宋体" w:cs="宋体"/>
          <w:sz w:val="28"/>
          <w:szCs w:val="28"/>
        </w:rPr>
        <w:t>，如有变动另行通知。</w:t>
      </w:r>
    </w:p>
    <w:p w14:paraId="3EA3DC10">
      <w:pPr>
        <w:adjustRightInd w:val="0"/>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五、开启</w:t>
      </w:r>
    </w:p>
    <w:p w14:paraId="41ABA86E">
      <w:pPr>
        <w:adjustRightInd w:val="0"/>
        <w:snapToGrid w:val="0"/>
        <w:spacing w:line="460" w:lineRule="exact"/>
        <w:ind w:firstLine="560" w:firstLineChars="200"/>
        <w:rPr>
          <w:rFonts w:hint="eastAsia" w:ascii="宋体" w:hAnsi="宋体" w:cs="宋体"/>
          <w:color w:val="0000FF"/>
          <w:sz w:val="28"/>
          <w:szCs w:val="28"/>
        </w:rPr>
      </w:pPr>
      <w:r>
        <w:rPr>
          <w:rFonts w:hint="eastAsia" w:ascii="宋体" w:hAnsi="宋体" w:cs="宋体"/>
          <w:color w:val="auto"/>
          <w:sz w:val="28"/>
          <w:szCs w:val="28"/>
        </w:rPr>
        <w:t>时间：202</w:t>
      </w:r>
      <w:r>
        <w:rPr>
          <w:rFonts w:hint="eastAsia" w:ascii="宋体" w:hAnsi="宋体" w:cs="宋体"/>
          <w:color w:val="auto"/>
          <w:sz w:val="28"/>
          <w:szCs w:val="28"/>
          <w:lang w:val="en-US" w:eastAsia="zh-CN"/>
        </w:rPr>
        <w:t>5</w:t>
      </w:r>
      <w:r>
        <w:rPr>
          <w:rFonts w:hint="eastAsia" w:ascii="宋体" w:hAnsi="宋体" w:cs="宋体"/>
          <w:color w:val="auto"/>
          <w:sz w:val="28"/>
          <w:szCs w:val="28"/>
        </w:rPr>
        <w:t>年</w:t>
      </w:r>
      <w:r>
        <w:rPr>
          <w:rFonts w:hint="eastAsia" w:ascii="宋体" w:hAnsi="宋体" w:cs="宋体"/>
          <w:color w:val="auto"/>
          <w:sz w:val="28"/>
          <w:szCs w:val="28"/>
          <w:lang w:val="en-US" w:eastAsia="zh-CN"/>
        </w:rPr>
        <w:t>5</w:t>
      </w:r>
      <w:r>
        <w:rPr>
          <w:rFonts w:hint="eastAsia" w:ascii="宋体" w:hAnsi="宋体" w:cs="宋体"/>
          <w:color w:val="auto"/>
          <w:sz w:val="28"/>
          <w:szCs w:val="28"/>
        </w:rPr>
        <w:t>月</w:t>
      </w:r>
      <w:r>
        <w:rPr>
          <w:rFonts w:hint="eastAsia" w:ascii="宋体" w:hAnsi="宋体" w:cs="宋体"/>
          <w:color w:val="auto"/>
          <w:sz w:val="28"/>
          <w:szCs w:val="28"/>
          <w:lang w:val="en-US" w:eastAsia="zh-CN"/>
        </w:rPr>
        <w:t>30</w:t>
      </w:r>
      <w:bookmarkStart w:id="8" w:name="_GoBack"/>
      <w:bookmarkEnd w:id="8"/>
      <w:r>
        <w:rPr>
          <w:rFonts w:hint="eastAsia" w:ascii="宋体" w:hAnsi="宋体" w:cs="宋体"/>
          <w:color w:val="auto"/>
          <w:sz w:val="28"/>
          <w:szCs w:val="28"/>
        </w:rPr>
        <w:t>日</w:t>
      </w:r>
      <w:r>
        <w:rPr>
          <w:rFonts w:hint="eastAsia" w:ascii="宋体" w:hAnsi="宋体" w:cs="宋体"/>
          <w:color w:val="auto"/>
          <w:sz w:val="28"/>
          <w:szCs w:val="28"/>
          <w:lang w:val="en-US" w:eastAsia="zh-CN"/>
        </w:rPr>
        <w:t>9</w:t>
      </w:r>
      <w:r>
        <w:rPr>
          <w:rFonts w:hint="eastAsia" w:ascii="宋体" w:hAnsi="宋体" w:cs="宋体"/>
          <w:color w:val="auto"/>
          <w:sz w:val="28"/>
          <w:szCs w:val="28"/>
        </w:rPr>
        <w:t>点30分（北京时间）</w:t>
      </w:r>
    </w:p>
    <w:p w14:paraId="23187295">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地点：</w:t>
      </w:r>
      <w:r>
        <w:rPr>
          <w:rFonts w:hint="eastAsia" w:ascii="宋体" w:hAnsi="宋体" w:cs="宋体"/>
          <w:b/>
          <w:bCs/>
          <w:sz w:val="28"/>
          <w:szCs w:val="28"/>
          <w:u w:val="single"/>
        </w:rPr>
        <w:t>南通市养老服务指导中心D幢三楼会议室，</w:t>
      </w:r>
      <w:r>
        <w:rPr>
          <w:rFonts w:hint="eastAsia" w:ascii="宋体" w:hAnsi="宋体" w:cs="宋体"/>
          <w:sz w:val="28"/>
          <w:szCs w:val="28"/>
        </w:rPr>
        <w:t>如有变动另行通知。</w:t>
      </w:r>
    </w:p>
    <w:p w14:paraId="78FB68C4">
      <w:pPr>
        <w:adjustRightInd w:val="0"/>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六、公告期限</w:t>
      </w:r>
    </w:p>
    <w:p w14:paraId="24548BE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自本公告发布之日起3个工作日。</w:t>
      </w:r>
    </w:p>
    <w:p w14:paraId="56E66655">
      <w:pPr>
        <w:adjustRightInd w:val="0"/>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七、其他补充事宜</w:t>
      </w:r>
    </w:p>
    <w:p w14:paraId="14603D92">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1.投标保证金：免收</w:t>
      </w:r>
    </w:p>
    <w:p w14:paraId="77927D6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2.项目</w:t>
      </w:r>
      <w:r>
        <w:rPr>
          <w:rFonts w:hint="eastAsia" w:ascii="宋体" w:hAnsi="宋体" w:cs="宋体"/>
          <w:sz w:val="28"/>
          <w:szCs w:val="28"/>
          <w:lang w:eastAsia="zh-CN"/>
        </w:rPr>
        <w:t>比选</w:t>
      </w:r>
      <w:r>
        <w:rPr>
          <w:rFonts w:hint="eastAsia" w:ascii="宋体" w:hAnsi="宋体" w:cs="宋体"/>
          <w:sz w:val="28"/>
          <w:szCs w:val="28"/>
        </w:rPr>
        <w:t>活动模式：见面</w:t>
      </w:r>
      <w:r>
        <w:rPr>
          <w:rFonts w:hint="eastAsia" w:ascii="宋体" w:hAnsi="宋体" w:cs="宋体"/>
          <w:sz w:val="28"/>
          <w:szCs w:val="28"/>
          <w:lang w:eastAsia="zh-CN"/>
        </w:rPr>
        <w:t>比选</w:t>
      </w:r>
      <w:r>
        <w:rPr>
          <w:rFonts w:hint="eastAsia" w:ascii="宋体" w:hAnsi="宋体" w:cs="宋体"/>
          <w:sz w:val="28"/>
          <w:szCs w:val="28"/>
        </w:rPr>
        <w:t>模式，供应商在南通市养老服务指导中心D幢三楼会议室参加</w:t>
      </w:r>
      <w:r>
        <w:rPr>
          <w:rFonts w:hint="eastAsia" w:ascii="宋体" w:hAnsi="宋体" w:cs="宋体"/>
          <w:sz w:val="28"/>
          <w:szCs w:val="28"/>
          <w:lang w:eastAsia="zh-CN"/>
        </w:rPr>
        <w:t>比选</w:t>
      </w:r>
      <w:r>
        <w:rPr>
          <w:rFonts w:hint="eastAsia" w:ascii="宋体" w:hAnsi="宋体" w:cs="宋体"/>
          <w:sz w:val="28"/>
          <w:szCs w:val="28"/>
        </w:rPr>
        <w:t>活动。</w:t>
      </w:r>
    </w:p>
    <w:p w14:paraId="16BD0EE5">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.对项目需求部分（供应商资格要求、项目需求、商务技术评分标准）的询问、质疑请向采购人提出，由采购人负责答复；对项目</w:t>
      </w:r>
      <w:r>
        <w:rPr>
          <w:rFonts w:hint="eastAsia" w:ascii="宋体" w:hAnsi="宋体" w:cs="宋体"/>
          <w:sz w:val="28"/>
          <w:szCs w:val="28"/>
          <w:lang w:eastAsia="zh-CN"/>
        </w:rPr>
        <w:t>比选</w:t>
      </w:r>
      <w:r>
        <w:rPr>
          <w:rFonts w:hint="eastAsia" w:ascii="宋体" w:hAnsi="宋体" w:cs="宋体"/>
          <w:sz w:val="28"/>
          <w:szCs w:val="28"/>
        </w:rPr>
        <w:t>文件其它部分的询问请向</w:t>
      </w:r>
      <w:r>
        <w:rPr>
          <w:rFonts w:hint="eastAsia" w:ascii="宋体" w:hAnsi="宋体" w:cs="宋体"/>
          <w:sz w:val="28"/>
          <w:szCs w:val="28"/>
          <w:lang w:eastAsia="zh-CN"/>
        </w:rPr>
        <w:t>比选</w:t>
      </w:r>
      <w:r>
        <w:rPr>
          <w:rFonts w:hint="eastAsia" w:ascii="宋体" w:hAnsi="宋体" w:cs="宋体"/>
          <w:sz w:val="28"/>
          <w:szCs w:val="28"/>
        </w:rPr>
        <w:t>文件制作人或项目</w:t>
      </w:r>
      <w:r>
        <w:rPr>
          <w:rFonts w:hint="eastAsia" w:ascii="宋体" w:hAnsi="宋体" w:cs="宋体"/>
          <w:sz w:val="28"/>
          <w:szCs w:val="28"/>
          <w:lang w:eastAsia="zh-CN"/>
        </w:rPr>
        <w:t>比选</w:t>
      </w:r>
      <w:r>
        <w:rPr>
          <w:rFonts w:hint="eastAsia" w:ascii="宋体" w:hAnsi="宋体" w:cs="宋体"/>
          <w:sz w:val="28"/>
          <w:szCs w:val="28"/>
        </w:rPr>
        <w:t>经办人提出。</w:t>
      </w:r>
    </w:p>
    <w:p w14:paraId="5AC1126D">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2474E072">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rPr>
        <w:t>八、凡对本次采购提出询问，请按以下方式联系。</w:t>
      </w:r>
    </w:p>
    <w:p w14:paraId="69EF8778">
      <w:pPr>
        <w:widowControl/>
        <w:shd w:val="clear" w:color="auto" w:fill="FFFFFF"/>
        <w:adjustRightInd w:val="0"/>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1.采购人信息</w:t>
      </w:r>
    </w:p>
    <w:p w14:paraId="6E7F96B1">
      <w:pPr>
        <w:widowControl/>
        <w:shd w:val="clear" w:color="auto" w:fill="FFFFFF"/>
        <w:adjustRightInd w:val="0"/>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名称：南通市养老服务指导中心　　　　　　　　　　　　</w:t>
      </w:r>
    </w:p>
    <w:p w14:paraId="46FE8333">
      <w:pPr>
        <w:widowControl/>
        <w:shd w:val="clear" w:color="auto" w:fill="FFFFFF"/>
        <w:adjustRightInd w:val="0"/>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联系人：</w:t>
      </w:r>
      <w:r>
        <w:rPr>
          <w:rFonts w:hint="eastAsia" w:ascii="宋体" w:hAnsi="宋体" w:cs="宋体"/>
          <w:sz w:val="28"/>
          <w:szCs w:val="28"/>
          <w:lang w:eastAsia="zh-CN"/>
        </w:rPr>
        <w:t>沈</w:t>
      </w:r>
      <w:r>
        <w:rPr>
          <w:rFonts w:hint="eastAsia" w:ascii="宋体" w:hAnsi="宋体" w:cs="宋体"/>
          <w:sz w:val="28"/>
          <w:szCs w:val="28"/>
        </w:rPr>
        <w:t>女士　　　　　　　　　</w:t>
      </w:r>
    </w:p>
    <w:p w14:paraId="053E8083">
      <w:pPr>
        <w:widowControl/>
        <w:shd w:val="clear" w:color="auto" w:fill="FFFFFF"/>
        <w:adjustRightInd w:val="0"/>
        <w:snapToGrid w:val="0"/>
        <w:spacing w:line="460" w:lineRule="exact"/>
        <w:ind w:firstLine="560" w:firstLineChars="200"/>
        <w:jc w:val="left"/>
        <w:rPr>
          <w:rFonts w:hint="eastAsia" w:ascii="宋体" w:hAnsi="宋体" w:cs="宋体"/>
          <w:sz w:val="28"/>
          <w:szCs w:val="28"/>
        </w:rPr>
      </w:pPr>
      <w:r>
        <w:rPr>
          <w:rFonts w:hint="eastAsia" w:ascii="宋体" w:hAnsi="宋体" w:cs="宋体"/>
          <w:sz w:val="28"/>
          <w:szCs w:val="28"/>
        </w:rPr>
        <w:t>联系方式：0513-851122</w:t>
      </w:r>
      <w:r>
        <w:rPr>
          <w:rFonts w:hint="eastAsia" w:ascii="宋体" w:hAnsi="宋体" w:cs="宋体"/>
          <w:sz w:val="28"/>
          <w:szCs w:val="28"/>
          <w:lang w:val="en-US" w:eastAsia="zh-CN"/>
        </w:rPr>
        <w:t>80</w:t>
      </w:r>
      <w:r>
        <w:rPr>
          <w:rFonts w:hint="eastAsia" w:ascii="宋体" w:hAnsi="宋体" w:cs="宋体"/>
          <w:sz w:val="28"/>
          <w:szCs w:val="28"/>
        </w:rPr>
        <w:t xml:space="preserve"> </w:t>
      </w:r>
    </w:p>
    <w:p w14:paraId="4D5BA2AF">
      <w:pPr>
        <w:pStyle w:val="212"/>
        <w:rPr>
          <w:rFonts w:hint="eastAsia" w:ascii="宋体" w:hAnsi="宋体" w:cs="宋体"/>
          <w:sz w:val="28"/>
          <w:szCs w:val="28"/>
        </w:rPr>
      </w:pPr>
    </w:p>
    <w:p w14:paraId="0F365C94">
      <w:pPr>
        <w:pStyle w:val="3"/>
        <w:rPr>
          <w:rFonts w:hint="eastAsia" w:ascii="宋体" w:hAnsi="宋体" w:cs="宋体"/>
          <w:sz w:val="28"/>
          <w:szCs w:val="28"/>
        </w:rPr>
      </w:pPr>
    </w:p>
    <w:p w14:paraId="47E13391">
      <w:pPr>
        <w:rPr>
          <w:rFonts w:hint="eastAsia" w:ascii="宋体" w:hAnsi="宋体" w:cs="宋体"/>
          <w:sz w:val="28"/>
          <w:szCs w:val="28"/>
        </w:rPr>
      </w:pPr>
    </w:p>
    <w:p w14:paraId="334D4C8E">
      <w:pPr>
        <w:pStyle w:val="2"/>
        <w:rPr>
          <w:rFonts w:hint="eastAsia"/>
        </w:rPr>
      </w:pPr>
    </w:p>
    <w:p w14:paraId="02EE2E4F">
      <w:pPr>
        <w:pStyle w:val="3"/>
        <w:rPr>
          <w:rFonts w:hint="eastAsia"/>
          <w:lang w:eastAsia="zh-CN"/>
        </w:rPr>
      </w:pPr>
    </w:p>
    <w:p w14:paraId="6B14FE41">
      <w:pPr>
        <w:pStyle w:val="154"/>
        <w:spacing w:before="312" w:after="312" w:line="320" w:lineRule="atLeast"/>
        <w:jc w:val="center"/>
        <w:rPr>
          <w:rFonts w:hint="eastAsia" w:ascii="宋体" w:eastAsia="宋体" w:cs="宋体"/>
          <w:color w:val="000000" w:themeColor="text1"/>
          <w:sz w:val="36"/>
          <w:szCs w:val="36"/>
          <w:lang w:eastAsia="zh-CN"/>
        </w:rPr>
      </w:pPr>
      <w:r>
        <w:rPr>
          <w:rFonts w:hint="eastAsia" w:ascii="宋体" w:eastAsia="宋体" w:cs="宋体"/>
          <w:color w:val="000000" w:themeColor="text1"/>
          <w:sz w:val="36"/>
          <w:szCs w:val="36"/>
          <w:lang w:eastAsia="zh-CN"/>
        </w:rPr>
        <w:t>第二章 比选须知</w:t>
      </w:r>
    </w:p>
    <w:p w14:paraId="7E04EDEA">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rPr>
        <w:t>一、说明</w:t>
      </w:r>
    </w:p>
    <w:p w14:paraId="6578D359">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1、本招标文件仅适用于南通市养老服务指导中心的</w:t>
      </w:r>
      <w:r>
        <w:rPr>
          <w:rFonts w:hint="eastAsia" w:ascii="宋体" w:hAnsi="宋体" w:cs="宋体"/>
          <w:sz w:val="28"/>
          <w:szCs w:val="28"/>
          <w:lang w:eastAsia="zh-CN"/>
        </w:rPr>
        <w:t>比选</w:t>
      </w:r>
      <w:r>
        <w:rPr>
          <w:rFonts w:hint="eastAsia" w:ascii="宋体" w:hAnsi="宋体" w:cs="宋体"/>
          <w:sz w:val="28"/>
          <w:szCs w:val="28"/>
        </w:rPr>
        <w:t>采购活动。</w:t>
      </w:r>
    </w:p>
    <w:p w14:paraId="73A5A75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2、公开招标活动及因本次招标产生的合同受中国法律制约和保护。</w:t>
      </w:r>
    </w:p>
    <w:p w14:paraId="7877AE4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3、招标文件的解释权属于南通市养老服务指导中心。</w:t>
      </w:r>
    </w:p>
    <w:p w14:paraId="364AEA4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lang w:eastAsia="zh-CN"/>
        </w:rPr>
        <w:t>参选</w:t>
      </w:r>
      <w:r>
        <w:rPr>
          <w:rFonts w:hint="eastAsia" w:ascii="宋体" w:hAnsi="宋体" w:cs="宋体"/>
          <w:sz w:val="28"/>
          <w:szCs w:val="28"/>
        </w:rPr>
        <w:t>供应商下载</w:t>
      </w:r>
      <w:r>
        <w:rPr>
          <w:rFonts w:hint="eastAsia" w:ascii="宋体" w:hAnsi="宋体" w:cs="宋体"/>
          <w:sz w:val="28"/>
          <w:szCs w:val="28"/>
          <w:lang w:eastAsia="zh-CN"/>
        </w:rPr>
        <w:t>比选</w:t>
      </w:r>
      <w:r>
        <w:rPr>
          <w:rFonts w:hint="eastAsia" w:ascii="宋体" w:hAnsi="宋体" w:cs="宋体"/>
          <w:sz w:val="28"/>
          <w:szCs w:val="28"/>
        </w:rPr>
        <w:t>文件后，应仔细检查</w:t>
      </w:r>
      <w:r>
        <w:rPr>
          <w:rFonts w:hint="eastAsia" w:ascii="宋体" w:hAnsi="宋体" w:cs="宋体"/>
          <w:sz w:val="28"/>
          <w:szCs w:val="28"/>
          <w:lang w:eastAsia="zh-CN"/>
        </w:rPr>
        <w:t>比选</w:t>
      </w:r>
      <w:r>
        <w:rPr>
          <w:rFonts w:hint="eastAsia" w:ascii="宋体" w:hAnsi="宋体" w:cs="宋体"/>
          <w:sz w:val="28"/>
          <w:szCs w:val="28"/>
        </w:rPr>
        <w:t>文件的所有内容，如有内容或页码短缺、资格要求和技术参数含有倾向性或排他性等表述的，应在</w:t>
      </w:r>
      <w:r>
        <w:rPr>
          <w:rFonts w:hint="eastAsia" w:ascii="宋体" w:hAnsi="宋体" w:cs="宋体"/>
          <w:sz w:val="28"/>
          <w:szCs w:val="28"/>
          <w:lang w:eastAsia="zh-CN"/>
        </w:rPr>
        <w:t>比选</w:t>
      </w:r>
      <w:r>
        <w:rPr>
          <w:rFonts w:hint="eastAsia" w:ascii="宋体" w:hAnsi="宋体" w:cs="宋体"/>
          <w:sz w:val="28"/>
          <w:szCs w:val="28"/>
        </w:rPr>
        <w:t>文件发布后2日内以书面形式提出询问或疑问，未在规定的2日内提出询问或疑问的，视同供应商理解并接受本</w:t>
      </w:r>
      <w:r>
        <w:rPr>
          <w:rFonts w:hint="eastAsia" w:ascii="宋体" w:hAnsi="宋体" w:cs="宋体"/>
          <w:sz w:val="28"/>
          <w:szCs w:val="28"/>
          <w:lang w:eastAsia="zh-CN"/>
        </w:rPr>
        <w:t>比选</w:t>
      </w:r>
      <w:r>
        <w:rPr>
          <w:rFonts w:hint="eastAsia" w:ascii="宋体" w:hAnsi="宋体" w:cs="宋体"/>
          <w:sz w:val="28"/>
          <w:szCs w:val="28"/>
        </w:rPr>
        <w:t>文件所有内容，并由此引起的损失自负。供应商不得在</w:t>
      </w:r>
      <w:r>
        <w:rPr>
          <w:rFonts w:hint="eastAsia" w:ascii="宋体" w:hAnsi="宋体" w:cs="宋体"/>
          <w:sz w:val="28"/>
          <w:szCs w:val="28"/>
          <w:lang w:eastAsia="zh-CN"/>
        </w:rPr>
        <w:t>比选</w:t>
      </w:r>
      <w:r>
        <w:rPr>
          <w:rFonts w:hint="eastAsia" w:ascii="宋体" w:hAnsi="宋体" w:cs="宋体"/>
          <w:sz w:val="28"/>
          <w:szCs w:val="28"/>
        </w:rPr>
        <w:t>结束后针对</w:t>
      </w:r>
      <w:r>
        <w:rPr>
          <w:rFonts w:hint="eastAsia" w:ascii="宋体" w:hAnsi="宋体" w:cs="宋体"/>
          <w:sz w:val="28"/>
          <w:szCs w:val="28"/>
          <w:lang w:eastAsia="zh-CN"/>
        </w:rPr>
        <w:t>比选</w:t>
      </w:r>
      <w:r>
        <w:rPr>
          <w:rFonts w:hint="eastAsia" w:ascii="宋体" w:hAnsi="宋体" w:cs="宋体"/>
          <w:sz w:val="28"/>
          <w:szCs w:val="28"/>
        </w:rPr>
        <w:t>文件所有内容提出质疑事项。非书面形式的不作为日后质疑提出的依据。</w:t>
      </w:r>
    </w:p>
    <w:p w14:paraId="565C393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w:t>
      </w:r>
      <w:r>
        <w:rPr>
          <w:rFonts w:hint="eastAsia" w:ascii="宋体" w:hAnsi="宋体" w:cs="宋体"/>
          <w:sz w:val="28"/>
          <w:szCs w:val="28"/>
          <w:lang w:eastAsia="zh-CN"/>
        </w:rPr>
        <w:t>参选</w:t>
      </w:r>
      <w:r>
        <w:rPr>
          <w:rFonts w:hint="eastAsia" w:ascii="宋体" w:hAnsi="宋体" w:cs="宋体"/>
          <w:sz w:val="28"/>
          <w:szCs w:val="28"/>
        </w:rPr>
        <w:t>供应商应认真审阅</w:t>
      </w:r>
      <w:r>
        <w:rPr>
          <w:rFonts w:hint="eastAsia" w:ascii="宋体" w:hAnsi="宋体" w:cs="宋体"/>
          <w:sz w:val="28"/>
          <w:szCs w:val="28"/>
          <w:lang w:eastAsia="zh-CN"/>
        </w:rPr>
        <w:t>比选</w:t>
      </w:r>
      <w:r>
        <w:rPr>
          <w:rFonts w:hint="eastAsia" w:ascii="宋体" w:hAnsi="宋体" w:cs="宋体"/>
          <w:sz w:val="28"/>
          <w:szCs w:val="28"/>
        </w:rPr>
        <w:t>文件中所有的事项、格式、条款和规范要求等，如果</w:t>
      </w:r>
      <w:r>
        <w:rPr>
          <w:rFonts w:hint="eastAsia" w:ascii="宋体" w:hAnsi="宋体" w:cs="宋体"/>
          <w:sz w:val="28"/>
          <w:szCs w:val="28"/>
          <w:lang w:eastAsia="zh-CN"/>
        </w:rPr>
        <w:t>参选</w:t>
      </w:r>
      <w:r>
        <w:rPr>
          <w:rFonts w:hint="eastAsia" w:ascii="宋体" w:hAnsi="宋体" w:cs="宋体"/>
          <w:sz w:val="28"/>
          <w:szCs w:val="28"/>
        </w:rPr>
        <w:t>供应商没有按照</w:t>
      </w:r>
      <w:r>
        <w:rPr>
          <w:rFonts w:hint="eastAsia" w:ascii="宋体" w:hAnsi="宋体" w:cs="宋体"/>
          <w:sz w:val="28"/>
          <w:szCs w:val="28"/>
          <w:lang w:eastAsia="zh-CN"/>
        </w:rPr>
        <w:t>比选</w:t>
      </w:r>
      <w:r>
        <w:rPr>
          <w:rFonts w:hint="eastAsia" w:ascii="宋体" w:hAnsi="宋体" w:cs="宋体"/>
          <w:sz w:val="28"/>
          <w:szCs w:val="28"/>
        </w:rPr>
        <w:t>文件要求提交</w:t>
      </w:r>
      <w:r>
        <w:rPr>
          <w:rFonts w:hint="eastAsia" w:ascii="宋体" w:hAnsi="宋体" w:cs="宋体"/>
          <w:sz w:val="28"/>
          <w:szCs w:val="28"/>
          <w:lang w:eastAsia="zh-CN"/>
        </w:rPr>
        <w:t>比选</w:t>
      </w:r>
      <w:r>
        <w:rPr>
          <w:rFonts w:hint="eastAsia" w:ascii="宋体" w:hAnsi="宋体" w:cs="宋体"/>
          <w:sz w:val="28"/>
          <w:szCs w:val="28"/>
        </w:rPr>
        <w:t>响应文件，或者</w:t>
      </w:r>
      <w:r>
        <w:rPr>
          <w:rFonts w:hint="eastAsia" w:ascii="宋体" w:hAnsi="宋体" w:cs="宋体"/>
          <w:sz w:val="28"/>
          <w:szCs w:val="28"/>
          <w:lang w:eastAsia="zh-CN"/>
        </w:rPr>
        <w:t>比选</w:t>
      </w:r>
      <w:r>
        <w:rPr>
          <w:rFonts w:hint="eastAsia" w:ascii="宋体" w:hAnsi="宋体" w:cs="宋体"/>
          <w:sz w:val="28"/>
          <w:szCs w:val="28"/>
        </w:rPr>
        <w:t>响应文件没有对</w:t>
      </w:r>
      <w:r>
        <w:rPr>
          <w:rFonts w:hint="eastAsia" w:ascii="宋体" w:hAnsi="宋体" w:cs="宋体"/>
          <w:sz w:val="28"/>
          <w:szCs w:val="28"/>
          <w:lang w:eastAsia="zh-CN"/>
        </w:rPr>
        <w:t>比选</w:t>
      </w:r>
      <w:r>
        <w:rPr>
          <w:rFonts w:hint="eastAsia" w:ascii="宋体" w:hAnsi="宋体" w:cs="宋体"/>
          <w:sz w:val="28"/>
          <w:szCs w:val="28"/>
        </w:rPr>
        <w:t>文件做出实质性响应，将被拒绝参与投标。</w:t>
      </w:r>
    </w:p>
    <w:p w14:paraId="31CD219F">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rPr>
        <w:t>二、招标文件的补充说明、澄清、修改、答疑</w:t>
      </w:r>
    </w:p>
    <w:p w14:paraId="2EEA875F">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1.采购人有权对发出的</w:t>
      </w:r>
      <w:r>
        <w:rPr>
          <w:rFonts w:hint="eastAsia" w:ascii="宋体" w:hAnsi="宋体" w:cs="宋体"/>
          <w:sz w:val="28"/>
          <w:szCs w:val="28"/>
          <w:lang w:eastAsia="zh-CN"/>
        </w:rPr>
        <w:t>比选</w:t>
      </w:r>
      <w:r>
        <w:rPr>
          <w:rFonts w:hint="eastAsia" w:ascii="宋体" w:hAnsi="宋体" w:cs="宋体"/>
          <w:sz w:val="28"/>
          <w:szCs w:val="28"/>
        </w:rPr>
        <w:t>文件进行必要的补充说明、澄清或修改。</w:t>
      </w:r>
    </w:p>
    <w:p w14:paraId="728EFCD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比选</w:t>
      </w:r>
      <w:r>
        <w:rPr>
          <w:rFonts w:hint="eastAsia" w:ascii="宋体" w:hAnsi="宋体" w:cs="宋体"/>
          <w:sz w:val="28"/>
          <w:szCs w:val="28"/>
        </w:rPr>
        <w:t>文件的澄清、修改、补充等内容均以书面明确的形式发布，且以在“南通市民政局网站</w:t>
      </w:r>
      <w:r>
        <w:rPr>
          <w:rFonts w:hint="eastAsia" w:ascii="宋体" w:hAnsi="宋体" w:cs="宋体"/>
          <w:sz w:val="28"/>
          <w:szCs w:val="28"/>
          <w:lang w:eastAsia="zh-CN"/>
        </w:rPr>
        <w:t>”</w:t>
      </w:r>
      <w:r>
        <w:rPr>
          <w:rFonts w:hint="eastAsia" w:ascii="宋体" w:hAnsi="宋体" w:cs="宋体"/>
          <w:sz w:val="28"/>
          <w:szCs w:val="28"/>
        </w:rPr>
        <w:t>（http://mzj.nantong.gov.cn/）发布的信息为准。</w:t>
      </w:r>
    </w:p>
    <w:p w14:paraId="3081896B">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3.采购人对</w:t>
      </w:r>
      <w:r>
        <w:rPr>
          <w:rFonts w:hint="eastAsia" w:ascii="宋体" w:hAnsi="宋体" w:cs="宋体"/>
          <w:sz w:val="28"/>
          <w:szCs w:val="28"/>
          <w:lang w:eastAsia="zh-CN"/>
        </w:rPr>
        <w:t>比选</w:t>
      </w:r>
      <w:r>
        <w:rPr>
          <w:rFonts w:hint="eastAsia" w:ascii="宋体" w:hAnsi="宋体" w:cs="宋体"/>
          <w:sz w:val="28"/>
          <w:szCs w:val="28"/>
        </w:rPr>
        <w:t>文件的补充说明、澄清或修改，将构成</w:t>
      </w:r>
      <w:r>
        <w:rPr>
          <w:rFonts w:hint="eastAsia" w:ascii="宋体" w:hAnsi="宋体" w:cs="宋体"/>
          <w:sz w:val="28"/>
          <w:szCs w:val="28"/>
          <w:lang w:eastAsia="zh-CN"/>
        </w:rPr>
        <w:t>比选</w:t>
      </w:r>
      <w:r>
        <w:rPr>
          <w:rFonts w:hint="eastAsia" w:ascii="宋体" w:hAnsi="宋体" w:cs="宋体"/>
          <w:sz w:val="28"/>
          <w:szCs w:val="28"/>
        </w:rPr>
        <w:t>文件的一部分，对供应商具有约束力。</w:t>
      </w:r>
    </w:p>
    <w:p w14:paraId="6FD6ACED">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4.补充说明、澄清或修改的内容可能影响到响应文件编制的，采购人将在提交首次响应文件截止之日2日前，发布补充说明、澄清或修改公告，不足3个工作日的，应当顺延提交首次响应文件截止之日。</w:t>
      </w:r>
    </w:p>
    <w:p w14:paraId="30EAEC93">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5、除非采购人以书面的形式对</w:t>
      </w:r>
      <w:r>
        <w:rPr>
          <w:rFonts w:hint="eastAsia" w:ascii="宋体" w:hAnsi="宋体" w:cs="宋体"/>
          <w:sz w:val="28"/>
          <w:szCs w:val="28"/>
          <w:lang w:eastAsia="zh-CN"/>
        </w:rPr>
        <w:t>比选</w:t>
      </w:r>
      <w:r>
        <w:rPr>
          <w:rFonts w:hint="eastAsia" w:ascii="宋体" w:hAnsi="宋体" w:cs="宋体"/>
          <w:sz w:val="28"/>
          <w:szCs w:val="28"/>
        </w:rPr>
        <w:t>文件作出澄清、修改及补充，供应商对涉及</w:t>
      </w:r>
      <w:r>
        <w:rPr>
          <w:rFonts w:hint="eastAsia" w:ascii="宋体" w:hAnsi="宋体" w:cs="宋体"/>
          <w:sz w:val="28"/>
          <w:szCs w:val="28"/>
          <w:lang w:eastAsia="zh-CN"/>
        </w:rPr>
        <w:t>比选</w:t>
      </w:r>
      <w:r>
        <w:rPr>
          <w:rFonts w:hint="eastAsia" w:ascii="宋体" w:hAnsi="宋体" w:cs="宋体"/>
          <w:sz w:val="28"/>
          <w:szCs w:val="28"/>
        </w:rPr>
        <w:t>文件的任何推论、理解和结论所造成的结果，均由供应商自负。</w:t>
      </w:r>
    </w:p>
    <w:p w14:paraId="52DBEF02">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6.采购人视情组织答疑会。如有答疑且对</w:t>
      </w:r>
      <w:r>
        <w:rPr>
          <w:rFonts w:hint="eastAsia" w:ascii="宋体" w:hAnsi="宋体" w:cs="宋体"/>
          <w:sz w:val="28"/>
          <w:szCs w:val="28"/>
          <w:lang w:eastAsia="zh-CN"/>
        </w:rPr>
        <w:t>比选</w:t>
      </w:r>
      <w:r>
        <w:rPr>
          <w:rFonts w:hint="eastAsia" w:ascii="宋体" w:hAnsi="宋体" w:cs="宋体"/>
          <w:sz w:val="28"/>
          <w:szCs w:val="28"/>
        </w:rPr>
        <w:t>文件内容有修改，招标采购人将按照本须知有关规定，以补充通知（公告）的方式发出。</w:t>
      </w:r>
    </w:p>
    <w:p w14:paraId="29BB31C4">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rPr>
        <w:t>三、</w:t>
      </w:r>
      <w:r>
        <w:rPr>
          <w:rFonts w:hint="eastAsia" w:ascii="宋体" w:hAnsi="宋体" w:cs="宋体"/>
          <w:b/>
          <w:spacing w:val="7"/>
          <w:kern w:val="0"/>
          <w:sz w:val="28"/>
          <w:szCs w:val="28"/>
          <w:lang w:eastAsia="zh-CN"/>
        </w:rPr>
        <w:t>比选</w:t>
      </w:r>
      <w:r>
        <w:rPr>
          <w:rFonts w:hint="eastAsia" w:ascii="宋体" w:hAnsi="宋体" w:cs="宋体"/>
          <w:b/>
          <w:spacing w:val="7"/>
          <w:kern w:val="0"/>
          <w:sz w:val="28"/>
          <w:szCs w:val="28"/>
        </w:rPr>
        <w:t>响应文件的组成及装订</w:t>
      </w:r>
    </w:p>
    <w:p w14:paraId="6C11E16E">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参选供应商应</w:t>
      </w:r>
      <w:r>
        <w:rPr>
          <w:rFonts w:hint="eastAsia" w:ascii="宋体" w:hAnsi="宋体" w:cs="宋体"/>
          <w:sz w:val="28"/>
          <w:szCs w:val="28"/>
        </w:rPr>
        <w:t>按“</w:t>
      </w:r>
      <w:r>
        <w:rPr>
          <w:rFonts w:hint="eastAsia" w:ascii="宋体" w:hAnsi="宋体" w:cs="宋体"/>
          <w:sz w:val="28"/>
          <w:szCs w:val="28"/>
          <w:lang w:eastAsia="zh-CN"/>
        </w:rPr>
        <w:t>比选响应</w:t>
      </w:r>
      <w:r>
        <w:rPr>
          <w:rFonts w:hint="eastAsia" w:ascii="宋体" w:hAnsi="宋体" w:cs="宋体"/>
          <w:sz w:val="28"/>
          <w:szCs w:val="28"/>
        </w:rPr>
        <w:t>文件组成</w:t>
      </w:r>
      <w:r>
        <w:rPr>
          <w:rFonts w:hint="eastAsia" w:ascii="宋体" w:hAnsi="宋体" w:cs="宋体"/>
          <w:sz w:val="28"/>
          <w:szCs w:val="28"/>
          <w:lang w:eastAsia="zh-CN"/>
        </w:rPr>
        <w:t>及格式</w:t>
      </w:r>
      <w:r>
        <w:rPr>
          <w:rFonts w:hint="eastAsia" w:ascii="宋体" w:hAnsi="宋体" w:cs="宋体"/>
          <w:sz w:val="28"/>
          <w:szCs w:val="28"/>
        </w:rPr>
        <w:t>”编写比选文件。参选</w:t>
      </w:r>
      <w:r>
        <w:rPr>
          <w:rFonts w:hint="eastAsia" w:ascii="宋体" w:hAnsi="宋体" w:cs="宋体"/>
          <w:sz w:val="28"/>
          <w:szCs w:val="28"/>
          <w:lang w:val="zh-CN"/>
        </w:rPr>
        <w:t>文件规格幅面</w:t>
      </w:r>
      <w:r>
        <w:rPr>
          <w:rFonts w:hint="eastAsia" w:ascii="宋体" w:hAnsi="宋体" w:cs="宋体"/>
          <w:sz w:val="28"/>
          <w:szCs w:val="28"/>
        </w:rPr>
        <w:t>A4纸（图纸等除外）</w:t>
      </w:r>
      <w:r>
        <w:rPr>
          <w:rFonts w:hint="eastAsia" w:ascii="宋体" w:hAnsi="宋体" w:cs="宋体"/>
          <w:sz w:val="28"/>
          <w:szCs w:val="28"/>
          <w:lang w:val="zh-CN"/>
        </w:rPr>
        <w:t>；按照采购文件所规定的内容顺序，统一编制目录，逐页编码，由于编排混乱导致</w:t>
      </w:r>
      <w:r>
        <w:rPr>
          <w:rFonts w:hint="eastAsia" w:ascii="宋体" w:hAnsi="宋体" w:cs="宋体"/>
          <w:sz w:val="28"/>
          <w:szCs w:val="28"/>
        </w:rPr>
        <w:t>参选</w:t>
      </w:r>
      <w:r>
        <w:rPr>
          <w:rFonts w:hint="eastAsia" w:ascii="宋体" w:hAnsi="宋体" w:cs="宋体"/>
          <w:sz w:val="28"/>
          <w:szCs w:val="28"/>
          <w:lang w:val="zh-CN"/>
        </w:rPr>
        <w:t>文件被误读或查找不到，其责任应当由</w:t>
      </w:r>
      <w:r>
        <w:rPr>
          <w:rFonts w:hint="eastAsia" w:ascii="宋体" w:hAnsi="宋体" w:cs="宋体"/>
          <w:sz w:val="28"/>
          <w:szCs w:val="28"/>
        </w:rPr>
        <w:t>参选</w:t>
      </w:r>
      <w:r>
        <w:rPr>
          <w:rFonts w:hint="eastAsia" w:ascii="宋体" w:hAnsi="宋体" w:cs="宋体"/>
          <w:sz w:val="28"/>
          <w:szCs w:val="28"/>
          <w:lang w:val="zh-CN"/>
        </w:rPr>
        <w:t>人承担；</w:t>
      </w:r>
      <w:r>
        <w:rPr>
          <w:rFonts w:hint="eastAsia" w:ascii="宋体" w:hAnsi="宋体" w:cs="宋体"/>
          <w:sz w:val="28"/>
          <w:szCs w:val="28"/>
        </w:rPr>
        <w:t>牢固装订成册，不允许使用活页夹、拉杆夹、文件夹、塑料方便式书脊（插入式或穿孔式）装订；参选文件不得行间插字、涂改、增删，如修补错漏处，须经参选</w:t>
      </w:r>
      <w:r>
        <w:rPr>
          <w:rFonts w:hint="eastAsia" w:ascii="宋体" w:hAnsi="宋体" w:cs="宋体"/>
          <w:sz w:val="28"/>
          <w:szCs w:val="28"/>
          <w:lang w:eastAsia="zh-CN"/>
        </w:rPr>
        <w:t>供应商</w:t>
      </w:r>
      <w:r>
        <w:rPr>
          <w:rFonts w:hint="eastAsia" w:ascii="宋体" w:hAnsi="宋体" w:cs="宋体"/>
          <w:sz w:val="28"/>
          <w:szCs w:val="28"/>
        </w:rPr>
        <w:t>签字并加盖公章。</w:t>
      </w:r>
    </w:p>
    <w:p w14:paraId="6CD47A3C">
      <w:pPr>
        <w:adjustRightInd w:val="0"/>
        <w:snapToGrid w:val="0"/>
        <w:spacing w:line="460" w:lineRule="exact"/>
        <w:ind w:firstLine="560" w:firstLineChars="200"/>
        <w:rPr>
          <w:rFonts w:hint="eastAsia" w:ascii="宋体" w:hAnsi="宋体" w:cs="宋体"/>
          <w:spacing w:val="-20"/>
          <w:sz w:val="28"/>
          <w:szCs w:val="28"/>
        </w:rPr>
      </w:pPr>
      <w:r>
        <w:rPr>
          <w:rFonts w:hint="eastAsia" w:ascii="宋体" w:hAnsi="宋体" w:cs="宋体"/>
          <w:sz w:val="28"/>
          <w:szCs w:val="28"/>
        </w:rPr>
        <w:t>2.</w:t>
      </w:r>
      <w:r>
        <w:rPr>
          <w:rFonts w:hint="eastAsia" w:ascii="宋体" w:hAnsi="宋体" w:cs="宋体"/>
          <w:spacing w:val="-20"/>
          <w:sz w:val="28"/>
          <w:szCs w:val="28"/>
        </w:rPr>
        <w:t>参选文件（资格审查文件、商务技术响应文件、价格响应文件），明确标注参选</w:t>
      </w:r>
      <w:r>
        <w:rPr>
          <w:rFonts w:hint="eastAsia" w:ascii="宋体" w:hAnsi="宋体" w:cs="宋体"/>
          <w:spacing w:val="-20"/>
          <w:sz w:val="28"/>
          <w:szCs w:val="28"/>
          <w:lang w:eastAsia="zh-CN"/>
        </w:rPr>
        <w:t>供应商</w:t>
      </w:r>
      <w:r>
        <w:rPr>
          <w:rFonts w:hint="eastAsia" w:ascii="宋体" w:hAnsi="宋体" w:cs="宋体"/>
          <w:spacing w:val="-20"/>
          <w:sz w:val="28"/>
          <w:szCs w:val="28"/>
        </w:rPr>
        <w:t>全称、“正本”、“副本”字样。正本份数：1份，副本份数：</w:t>
      </w:r>
      <w:r>
        <w:rPr>
          <w:rFonts w:hint="eastAsia" w:ascii="宋体" w:hAnsi="宋体" w:cs="宋体"/>
          <w:spacing w:val="-20"/>
          <w:sz w:val="28"/>
          <w:szCs w:val="28"/>
          <w:lang w:val="en-US" w:eastAsia="zh-CN"/>
        </w:rPr>
        <w:t>2</w:t>
      </w:r>
      <w:r>
        <w:rPr>
          <w:rFonts w:hint="eastAsia" w:ascii="宋体" w:hAnsi="宋体" w:cs="宋体"/>
          <w:spacing w:val="-20"/>
          <w:sz w:val="28"/>
          <w:szCs w:val="28"/>
        </w:rPr>
        <w:t>份。</w:t>
      </w:r>
    </w:p>
    <w:p w14:paraId="24CA7AD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3.参选文件正本须打印并由参选</w:t>
      </w:r>
      <w:r>
        <w:rPr>
          <w:rFonts w:hint="eastAsia" w:ascii="宋体" w:hAnsi="宋体" w:cs="宋体"/>
          <w:sz w:val="28"/>
          <w:szCs w:val="28"/>
          <w:lang w:eastAsia="zh-CN"/>
        </w:rPr>
        <w:t>供应商</w:t>
      </w:r>
      <w:r>
        <w:rPr>
          <w:rFonts w:hint="eastAsia" w:ascii="宋体" w:hAnsi="宋体" w:cs="宋体"/>
          <w:sz w:val="28"/>
          <w:szCs w:val="28"/>
        </w:rPr>
        <w:t>法定代表人或授权人签字并加盖单位印章。副本可复印，但须加盖单位印章。</w:t>
      </w:r>
    </w:p>
    <w:p w14:paraId="33C95E1F">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本项目要求提供电子响应文件一份，电子响应文件的内容为资格审查文件、商务技术响应文件、价格响应文件打印盖章（或电子签章）后的响应文件的扫描件（资格审查文件、商务技术响应文件、价格响应文件需分别逐页连续扫描为三个独立的PDF文件），可以采取U盘、电子光盘两种方式中任意一种方式提交，需单独密封提交。</w:t>
      </w:r>
    </w:p>
    <w:p w14:paraId="48A4C49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电子响应文件内容应与提交的纸质响应文件内容一致。否则，由此产生的后果</w:t>
      </w:r>
      <w:r>
        <w:rPr>
          <w:rFonts w:hint="eastAsia" w:ascii="宋体" w:hAnsi="宋体" w:cs="宋体"/>
          <w:sz w:val="28"/>
          <w:szCs w:val="28"/>
          <w:lang w:eastAsia="zh-CN"/>
        </w:rPr>
        <w:t>参选人</w:t>
      </w:r>
      <w:r>
        <w:rPr>
          <w:rFonts w:hint="eastAsia" w:ascii="宋体" w:hAnsi="宋体" w:cs="宋体"/>
          <w:sz w:val="28"/>
          <w:szCs w:val="28"/>
        </w:rPr>
        <w:t>自负。</w:t>
      </w:r>
    </w:p>
    <w:p w14:paraId="185BE8D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5.开标程序顺利进行后，所有</w:t>
      </w:r>
      <w:r>
        <w:rPr>
          <w:rFonts w:hint="eastAsia" w:ascii="宋体" w:hAnsi="宋体" w:cs="宋体"/>
          <w:sz w:val="28"/>
          <w:szCs w:val="28"/>
          <w:lang w:eastAsia="zh-CN"/>
        </w:rPr>
        <w:t>比选</w:t>
      </w:r>
      <w:r>
        <w:rPr>
          <w:rFonts w:hint="eastAsia" w:ascii="宋体" w:hAnsi="宋体" w:cs="宋体"/>
          <w:sz w:val="28"/>
          <w:szCs w:val="28"/>
        </w:rPr>
        <w:t>响应文件都将作为档案保存，不论成交与否，采购人均不退回（未拆封的除外）。</w:t>
      </w:r>
    </w:p>
    <w:p w14:paraId="6AAAD265">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rPr>
      </w:pPr>
      <w:r>
        <w:rPr>
          <w:rFonts w:hint="eastAsia" w:ascii="宋体" w:hAnsi="宋体" w:cs="宋体"/>
          <w:b/>
          <w:spacing w:val="7"/>
          <w:kern w:val="0"/>
          <w:sz w:val="28"/>
          <w:szCs w:val="28"/>
          <w:lang w:eastAsia="zh-CN"/>
        </w:rPr>
        <w:t>四</w:t>
      </w:r>
      <w:r>
        <w:rPr>
          <w:rFonts w:hint="eastAsia" w:ascii="宋体" w:hAnsi="宋体" w:cs="宋体"/>
          <w:b/>
          <w:spacing w:val="7"/>
          <w:kern w:val="0"/>
          <w:sz w:val="28"/>
          <w:szCs w:val="28"/>
        </w:rPr>
        <w:t>、</w:t>
      </w:r>
      <w:r>
        <w:rPr>
          <w:rFonts w:hint="eastAsia" w:ascii="宋体" w:hAnsi="宋体" w:cs="宋体"/>
          <w:b/>
          <w:spacing w:val="7"/>
          <w:kern w:val="0"/>
          <w:sz w:val="28"/>
          <w:szCs w:val="28"/>
          <w:lang w:eastAsia="zh-CN"/>
        </w:rPr>
        <w:t>比选</w:t>
      </w:r>
      <w:r>
        <w:rPr>
          <w:rFonts w:hint="eastAsia" w:ascii="宋体" w:hAnsi="宋体" w:cs="宋体"/>
          <w:b/>
          <w:spacing w:val="7"/>
          <w:kern w:val="0"/>
          <w:sz w:val="28"/>
          <w:szCs w:val="28"/>
        </w:rPr>
        <w:t>响应文件的密封及标记</w:t>
      </w:r>
    </w:p>
    <w:p w14:paraId="008CF4F1">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密封后，应在每一密封包的</w:t>
      </w:r>
      <w:r>
        <w:rPr>
          <w:rFonts w:hint="eastAsia" w:ascii="宋体" w:hAnsi="宋体" w:cs="宋体"/>
          <w:sz w:val="28"/>
          <w:szCs w:val="28"/>
          <w:lang w:eastAsia="zh-CN"/>
        </w:rPr>
        <w:t>比选</w:t>
      </w:r>
      <w:r>
        <w:rPr>
          <w:rFonts w:hint="eastAsia" w:ascii="宋体" w:hAnsi="宋体" w:cs="宋体"/>
          <w:sz w:val="28"/>
          <w:szCs w:val="28"/>
        </w:rPr>
        <w:t>响应文件上明确标注</w:t>
      </w:r>
      <w:r>
        <w:rPr>
          <w:rFonts w:hint="eastAsia" w:ascii="宋体" w:hAnsi="宋体" w:cs="宋体"/>
          <w:sz w:val="28"/>
          <w:szCs w:val="28"/>
          <w:lang w:eastAsia="zh-CN"/>
        </w:rPr>
        <w:t>比选</w:t>
      </w:r>
      <w:r>
        <w:rPr>
          <w:rFonts w:hint="eastAsia" w:ascii="宋体" w:hAnsi="宋体" w:cs="宋体"/>
          <w:sz w:val="28"/>
          <w:szCs w:val="28"/>
        </w:rPr>
        <w:t>项目名称、项目编号、</w:t>
      </w:r>
      <w:r>
        <w:rPr>
          <w:rFonts w:hint="eastAsia" w:ascii="宋体" w:hAnsi="宋体" w:cs="宋体"/>
          <w:sz w:val="28"/>
          <w:szCs w:val="28"/>
          <w:lang w:eastAsia="zh-CN"/>
        </w:rPr>
        <w:t>比选</w:t>
      </w:r>
      <w:r>
        <w:rPr>
          <w:rFonts w:hint="eastAsia" w:ascii="宋体" w:hAnsi="宋体" w:cs="宋体"/>
          <w:sz w:val="28"/>
          <w:szCs w:val="28"/>
        </w:rPr>
        <w:t>响应文件各自对应的名称、</w:t>
      </w:r>
      <w:r>
        <w:rPr>
          <w:rFonts w:hint="eastAsia" w:ascii="宋体" w:hAnsi="宋体" w:cs="宋体"/>
          <w:sz w:val="28"/>
          <w:szCs w:val="28"/>
          <w:lang w:eastAsia="zh-CN"/>
        </w:rPr>
        <w:t>比选</w:t>
      </w:r>
      <w:r>
        <w:rPr>
          <w:rFonts w:hint="eastAsia" w:ascii="宋体" w:hAnsi="宋体" w:cs="宋体"/>
          <w:sz w:val="28"/>
          <w:szCs w:val="28"/>
        </w:rPr>
        <w:t>响应供应商全称及日期，同时加盖</w:t>
      </w:r>
      <w:r>
        <w:rPr>
          <w:rFonts w:hint="eastAsia" w:ascii="宋体" w:hAnsi="宋体" w:cs="宋体"/>
          <w:sz w:val="28"/>
          <w:szCs w:val="28"/>
          <w:lang w:eastAsia="zh-CN"/>
        </w:rPr>
        <w:t>比选</w:t>
      </w:r>
      <w:r>
        <w:rPr>
          <w:rFonts w:hint="eastAsia" w:ascii="宋体" w:hAnsi="宋体" w:cs="宋体"/>
          <w:sz w:val="28"/>
          <w:szCs w:val="28"/>
        </w:rPr>
        <w:t>响应供应商公章。</w:t>
      </w:r>
    </w:p>
    <w:p w14:paraId="49570642">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eastAsia="zh-CN"/>
        </w:rPr>
      </w:pPr>
      <w:r>
        <w:rPr>
          <w:rFonts w:hint="eastAsia" w:ascii="宋体" w:hAnsi="宋体" w:cs="宋体"/>
          <w:b/>
          <w:spacing w:val="7"/>
          <w:kern w:val="0"/>
          <w:sz w:val="28"/>
          <w:szCs w:val="28"/>
          <w:lang w:eastAsia="zh-CN"/>
        </w:rPr>
        <w:t>五、比选响应报价</w:t>
      </w:r>
    </w:p>
    <w:p w14:paraId="0E3631B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1.本项目不接受任何有选择的报价。</w:t>
      </w:r>
    </w:p>
    <w:p w14:paraId="6275E865">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比选</w:t>
      </w:r>
      <w:r>
        <w:rPr>
          <w:rFonts w:hint="eastAsia" w:ascii="宋体" w:hAnsi="宋体" w:cs="宋体"/>
          <w:sz w:val="28"/>
          <w:szCs w:val="28"/>
        </w:rPr>
        <w:t>报价均以人民币为报价的币种。</w:t>
      </w:r>
    </w:p>
    <w:p w14:paraId="7538FBAF">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比选</w:t>
      </w:r>
      <w:r>
        <w:rPr>
          <w:rFonts w:hint="eastAsia" w:ascii="宋体" w:hAnsi="宋体" w:cs="宋体"/>
          <w:sz w:val="28"/>
          <w:szCs w:val="28"/>
        </w:rPr>
        <w:t>报价表必须加盖</w:t>
      </w:r>
      <w:r>
        <w:rPr>
          <w:rFonts w:hint="eastAsia" w:ascii="宋体" w:hAnsi="宋体" w:cs="宋体"/>
          <w:sz w:val="28"/>
          <w:szCs w:val="28"/>
          <w:lang w:eastAsia="zh-CN"/>
        </w:rPr>
        <w:t>比选</w:t>
      </w:r>
      <w:r>
        <w:rPr>
          <w:rFonts w:hint="eastAsia" w:ascii="宋体" w:hAnsi="宋体" w:cs="宋体"/>
          <w:sz w:val="28"/>
          <w:szCs w:val="28"/>
        </w:rPr>
        <w:t>响应供应商公章且必须经法定代表人或被授权人签字或盖章。</w:t>
      </w:r>
    </w:p>
    <w:p w14:paraId="7E9FE01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w:t>
      </w:r>
      <w:r>
        <w:rPr>
          <w:rFonts w:hint="eastAsia" w:ascii="宋体" w:hAnsi="宋体" w:cs="宋体"/>
          <w:sz w:val="28"/>
          <w:szCs w:val="28"/>
          <w:lang w:eastAsia="zh-CN"/>
        </w:rPr>
        <w:t>比选</w:t>
      </w:r>
      <w:r>
        <w:rPr>
          <w:rFonts w:hint="eastAsia" w:ascii="宋体" w:hAnsi="宋体" w:cs="宋体"/>
          <w:sz w:val="28"/>
          <w:szCs w:val="28"/>
        </w:rPr>
        <w:t>报价出现前后不一致的，按照下列规定修正：</w:t>
      </w:r>
    </w:p>
    <w:p w14:paraId="557FF653">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比选</w:t>
      </w:r>
      <w:r>
        <w:rPr>
          <w:rFonts w:hint="eastAsia" w:ascii="宋体" w:hAnsi="宋体" w:cs="宋体"/>
          <w:sz w:val="28"/>
          <w:szCs w:val="28"/>
        </w:rPr>
        <w:t>响应文件中报价表（开标一览表）内容与</w:t>
      </w:r>
      <w:r>
        <w:rPr>
          <w:rFonts w:hint="eastAsia" w:ascii="宋体" w:hAnsi="宋体" w:cs="宋体"/>
          <w:sz w:val="28"/>
          <w:szCs w:val="28"/>
          <w:lang w:eastAsia="zh-CN"/>
        </w:rPr>
        <w:t>比选</w:t>
      </w:r>
      <w:r>
        <w:rPr>
          <w:rFonts w:hint="eastAsia" w:ascii="宋体" w:hAnsi="宋体" w:cs="宋体"/>
          <w:sz w:val="28"/>
          <w:szCs w:val="28"/>
        </w:rPr>
        <w:t>响应文件技术响应中内容明细不一致的，以报价表（开标一览表）为准；</w:t>
      </w:r>
    </w:p>
    <w:p w14:paraId="464C4BF4">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比选</w:t>
      </w:r>
      <w:r>
        <w:rPr>
          <w:rFonts w:hint="eastAsia" w:ascii="宋体" w:hAnsi="宋体" w:cs="宋体"/>
          <w:sz w:val="28"/>
          <w:szCs w:val="28"/>
        </w:rPr>
        <w:t>响应文件中涉及大写金额和小写金额不一致的，以大写金额为准；</w:t>
      </w:r>
    </w:p>
    <w:p w14:paraId="66D2DCD8">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（3）单价金额小数点或者百分比有明显错位的，以报价表（开标一览表）的总价为准，并修改单价；</w:t>
      </w:r>
    </w:p>
    <w:p w14:paraId="44B05C2C">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（4）总价金额与按单价汇总金额不一致的，以单价金额计算结果为准。</w:t>
      </w:r>
    </w:p>
    <w:p w14:paraId="7269B710">
      <w:pPr>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同时出现两种以上不一致的，按照前款规定的顺序修正。修正后的报价应当由</w:t>
      </w:r>
      <w:r>
        <w:rPr>
          <w:rFonts w:hint="eastAsia" w:ascii="宋体" w:hAnsi="宋体" w:cs="宋体"/>
          <w:sz w:val="28"/>
          <w:szCs w:val="28"/>
          <w:lang w:eastAsia="zh-CN"/>
        </w:rPr>
        <w:t>比选</w:t>
      </w:r>
      <w:r>
        <w:rPr>
          <w:rFonts w:hint="eastAsia" w:ascii="宋体" w:hAnsi="宋体" w:cs="宋体"/>
          <w:sz w:val="28"/>
          <w:szCs w:val="28"/>
        </w:rPr>
        <w:t>响应供应商的法定代表人或其被授权人签字确认后产生约束力，</w:t>
      </w:r>
      <w:r>
        <w:rPr>
          <w:rFonts w:hint="eastAsia" w:ascii="宋体" w:hAnsi="宋体" w:cs="宋体"/>
          <w:sz w:val="28"/>
          <w:szCs w:val="28"/>
          <w:lang w:eastAsia="zh-CN"/>
        </w:rPr>
        <w:t>比选</w:t>
      </w:r>
      <w:r>
        <w:rPr>
          <w:rFonts w:hint="eastAsia" w:ascii="宋体" w:hAnsi="宋体" w:cs="宋体"/>
          <w:sz w:val="28"/>
          <w:szCs w:val="28"/>
        </w:rPr>
        <w:t>响应供应商不确认的，其报价无效。</w:t>
      </w:r>
    </w:p>
    <w:p w14:paraId="3E3E95C3">
      <w:pPr>
        <w:adjustRightInd w:val="0"/>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5、本项目投标报价包含电梯维保服务费、更换零配件人工费、人员工资、福利、依法应缴纳的保险、工作服、技术服务费、电梯责任保险费、税金等与承诺达到国家规定的电梯维保要求所发生的费用和维保过程中的需更换的设备、零部件、外送修理等，单件且单次总价在200元（含200元）及以下的费用。</w:t>
      </w:r>
    </w:p>
    <w:p w14:paraId="0E5A1D61">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6.一次报定的响应报价为成交价，同时，成交人的成交价在合同实施期间不因市场变化因素而变动。</w:t>
      </w:r>
    </w:p>
    <w:p w14:paraId="48AA12A4">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7.供应商应详细阅读</w:t>
      </w:r>
      <w:r>
        <w:rPr>
          <w:rFonts w:hint="eastAsia" w:ascii="宋体" w:hAnsi="宋体" w:cs="宋体"/>
          <w:b w:val="0"/>
          <w:bCs w:val="0"/>
          <w:sz w:val="28"/>
          <w:szCs w:val="28"/>
          <w:lang w:eastAsia="zh-CN"/>
        </w:rPr>
        <w:t>比选</w:t>
      </w:r>
      <w:r>
        <w:rPr>
          <w:rFonts w:hint="eastAsia" w:ascii="宋体" w:hAnsi="宋体" w:cs="宋体"/>
          <w:b w:val="0"/>
          <w:bCs w:val="0"/>
          <w:sz w:val="28"/>
          <w:szCs w:val="28"/>
        </w:rPr>
        <w:t>文件的全部内容，根据采购项目需求，准确制定相关工作方案等，在合同期限内所必须的材料和配件均应列入报价清单内，本项目终验合格前若因报价清单内出现遗漏均视为赠送，不予增补。不按</w:t>
      </w:r>
      <w:r>
        <w:rPr>
          <w:rFonts w:hint="eastAsia" w:ascii="宋体" w:hAnsi="宋体" w:cs="宋体"/>
          <w:b w:val="0"/>
          <w:bCs w:val="0"/>
          <w:sz w:val="28"/>
          <w:szCs w:val="28"/>
          <w:lang w:eastAsia="zh-CN"/>
        </w:rPr>
        <w:t>比选</w:t>
      </w:r>
      <w:r>
        <w:rPr>
          <w:rFonts w:hint="eastAsia" w:ascii="宋体" w:hAnsi="宋体" w:cs="宋体"/>
          <w:b w:val="0"/>
          <w:bCs w:val="0"/>
          <w:sz w:val="28"/>
          <w:szCs w:val="28"/>
        </w:rPr>
        <w:t>文件的要求提供</w:t>
      </w:r>
      <w:r>
        <w:rPr>
          <w:rFonts w:hint="eastAsia" w:ascii="宋体" w:hAnsi="宋体" w:cs="宋体"/>
          <w:b w:val="0"/>
          <w:bCs w:val="0"/>
          <w:sz w:val="28"/>
          <w:szCs w:val="28"/>
          <w:lang w:eastAsia="zh-CN"/>
        </w:rPr>
        <w:t>比选</w:t>
      </w:r>
      <w:r>
        <w:rPr>
          <w:rFonts w:hint="eastAsia" w:ascii="宋体" w:hAnsi="宋体" w:cs="宋体"/>
          <w:b w:val="0"/>
          <w:bCs w:val="0"/>
          <w:sz w:val="28"/>
          <w:szCs w:val="28"/>
        </w:rPr>
        <w:t>响应文件，导致报价无效，按无效标处理。</w:t>
      </w:r>
    </w:p>
    <w:p w14:paraId="7C14518A">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六、比选费用</w:t>
      </w:r>
    </w:p>
    <w:p w14:paraId="08A3EBF1">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无论招标过程和结果如何，</w:t>
      </w:r>
      <w:r>
        <w:rPr>
          <w:rFonts w:hint="eastAsia" w:ascii="宋体" w:hAnsi="宋体" w:cs="宋体"/>
          <w:b w:val="0"/>
          <w:bCs w:val="0"/>
          <w:sz w:val="28"/>
          <w:szCs w:val="28"/>
          <w:lang w:eastAsia="zh-CN"/>
        </w:rPr>
        <w:t>供应商</w:t>
      </w:r>
      <w:r>
        <w:rPr>
          <w:rFonts w:hint="eastAsia" w:ascii="宋体" w:hAnsi="宋体" w:cs="宋体"/>
          <w:b w:val="0"/>
          <w:bCs w:val="0"/>
          <w:sz w:val="28"/>
          <w:szCs w:val="28"/>
        </w:rPr>
        <w:t>自行承担与本次项目招标有关的全部费用。</w:t>
      </w:r>
      <w:r>
        <w:rPr>
          <w:rFonts w:hint="eastAsia" w:ascii="宋体" w:hAnsi="宋体" w:cs="宋体"/>
          <w:b w:val="0"/>
          <w:bCs w:val="0"/>
          <w:sz w:val="28"/>
          <w:szCs w:val="28"/>
          <w:lang w:eastAsia="zh-CN"/>
        </w:rPr>
        <w:t>参选供应商</w:t>
      </w:r>
      <w:r>
        <w:rPr>
          <w:rFonts w:hint="eastAsia" w:ascii="宋体" w:hAnsi="宋体" w:cs="宋体"/>
          <w:b w:val="0"/>
          <w:bCs w:val="0"/>
          <w:sz w:val="28"/>
          <w:szCs w:val="28"/>
        </w:rPr>
        <w:t xml:space="preserve">承担参与投标可能发生的全部费用，采购人在任何情况下均无义务和责任承担这些费用。 </w:t>
      </w:r>
    </w:p>
    <w:p w14:paraId="31A38512">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七、比选保证金：免收</w:t>
      </w:r>
    </w:p>
    <w:p w14:paraId="4F858525">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八、比选文件递交时间及地址</w:t>
      </w:r>
    </w:p>
    <w:p w14:paraId="0DA93C6B">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投标人必须在规定的时间将</w:t>
      </w:r>
      <w:r>
        <w:rPr>
          <w:rFonts w:hint="eastAsia" w:ascii="宋体" w:hAnsi="宋体" w:cs="宋体"/>
          <w:b w:val="0"/>
          <w:bCs w:val="0"/>
          <w:sz w:val="28"/>
          <w:szCs w:val="28"/>
          <w:lang w:eastAsia="zh-CN"/>
        </w:rPr>
        <w:t>比选</w:t>
      </w:r>
      <w:r>
        <w:rPr>
          <w:rFonts w:hint="eastAsia" w:ascii="宋体" w:hAnsi="宋体" w:cs="宋体"/>
          <w:b w:val="0"/>
          <w:bCs w:val="0"/>
          <w:sz w:val="28"/>
          <w:szCs w:val="28"/>
        </w:rPr>
        <w:t>文件送达指定地点。采购人将拒绝接收在截止时间后递交的</w:t>
      </w:r>
      <w:r>
        <w:rPr>
          <w:rFonts w:hint="eastAsia" w:ascii="宋体" w:hAnsi="宋体" w:cs="宋体"/>
          <w:b w:val="0"/>
          <w:bCs w:val="0"/>
          <w:sz w:val="28"/>
          <w:szCs w:val="28"/>
          <w:lang w:eastAsia="zh-CN"/>
        </w:rPr>
        <w:t>比选</w:t>
      </w:r>
      <w:r>
        <w:rPr>
          <w:rFonts w:hint="eastAsia" w:ascii="宋体" w:hAnsi="宋体" w:cs="宋体"/>
          <w:b w:val="0"/>
          <w:bCs w:val="0"/>
          <w:sz w:val="28"/>
          <w:szCs w:val="28"/>
        </w:rPr>
        <w:t xml:space="preserve">文件。  </w:t>
      </w:r>
    </w:p>
    <w:p w14:paraId="11EA1AEC">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九、付款方式</w:t>
      </w:r>
    </w:p>
    <w:p w14:paraId="23A154ED">
      <w:pPr>
        <w:adjustRightInd w:val="0"/>
        <w:snapToGrid w:val="0"/>
        <w:spacing w:line="460" w:lineRule="exact"/>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rPr>
        <w:t>1.在合同签订后半年支付合同总额50%，一年到期后支付</w:t>
      </w:r>
      <w:r>
        <w:rPr>
          <w:rFonts w:hint="eastAsia" w:ascii="宋体" w:hAnsi="宋体" w:cs="宋体"/>
          <w:b w:val="0"/>
          <w:bCs w:val="0"/>
          <w:sz w:val="28"/>
          <w:szCs w:val="28"/>
          <w:lang w:eastAsia="zh-CN"/>
        </w:rPr>
        <w:t>剩余</w:t>
      </w:r>
      <w:r>
        <w:rPr>
          <w:rFonts w:hint="eastAsia" w:ascii="宋体" w:hAnsi="宋体" w:cs="宋体"/>
          <w:b w:val="0"/>
          <w:bCs w:val="0"/>
          <w:sz w:val="28"/>
          <w:szCs w:val="28"/>
        </w:rPr>
        <w:t>50%</w:t>
      </w:r>
      <w:r>
        <w:rPr>
          <w:rFonts w:hint="eastAsia" w:ascii="宋体" w:hAnsi="宋体" w:cs="宋体"/>
          <w:b w:val="0"/>
          <w:bCs w:val="0"/>
          <w:sz w:val="28"/>
          <w:szCs w:val="28"/>
          <w:lang w:eastAsia="zh-CN"/>
        </w:rPr>
        <w:t>。</w:t>
      </w:r>
    </w:p>
    <w:p w14:paraId="64D1E6D5">
      <w:pPr>
        <w:adjustRightInd w:val="0"/>
        <w:snapToGrid w:val="0"/>
        <w:spacing w:line="46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2.若在付款周期内电梯需要年检的，电梯必须通过相关部门的检验合格。</w:t>
      </w:r>
    </w:p>
    <w:p w14:paraId="3F1A8425">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十、未尽事宜</w:t>
      </w:r>
    </w:p>
    <w:p w14:paraId="368D83E2">
      <w:pPr>
        <w:adjustRightInd w:val="0"/>
        <w:snapToGrid w:val="0"/>
        <w:spacing w:line="460" w:lineRule="exact"/>
        <w:ind w:firstLine="560" w:firstLineChars="200"/>
      </w:pPr>
      <w:r>
        <w:rPr>
          <w:rFonts w:hint="eastAsia" w:ascii="宋体" w:hAnsi="宋体" w:cs="宋体"/>
          <w:b w:val="0"/>
          <w:bCs w:val="0"/>
          <w:sz w:val="28"/>
          <w:szCs w:val="28"/>
        </w:rPr>
        <w:t>按《中华人民共和国政府采购法》及其他有关的法律法规的规定执行。</w:t>
      </w:r>
    </w:p>
    <w:p w14:paraId="1FA96FE3">
      <w:pPr>
        <w:pStyle w:val="154"/>
        <w:spacing w:before="312" w:after="312" w:line="320" w:lineRule="atLeast"/>
        <w:rPr>
          <w:rFonts w:hint="eastAsia" w:ascii="宋体" w:eastAsia="宋体" w:cs="宋体"/>
          <w:color w:val="000000" w:themeColor="text1"/>
          <w:sz w:val="36"/>
          <w:szCs w:val="36"/>
          <w:lang w:eastAsia="zh-CN"/>
        </w:rPr>
      </w:pPr>
    </w:p>
    <w:p w14:paraId="15D318CC">
      <w:pPr>
        <w:rPr>
          <w:rFonts w:hint="eastAsia" w:ascii="宋体" w:eastAsia="宋体" w:cs="宋体"/>
          <w:color w:val="000000" w:themeColor="text1"/>
          <w:sz w:val="36"/>
          <w:szCs w:val="36"/>
          <w:lang w:eastAsia="zh-CN"/>
        </w:rPr>
      </w:pPr>
    </w:p>
    <w:p w14:paraId="3F503E29">
      <w:pPr>
        <w:pStyle w:val="2"/>
        <w:ind w:left="0" w:leftChars="0" w:firstLine="0" w:firstLineChars="0"/>
        <w:rPr>
          <w:rFonts w:hint="eastAsia"/>
          <w:lang w:eastAsia="zh-CN"/>
        </w:rPr>
      </w:pPr>
    </w:p>
    <w:p w14:paraId="0D6CC6C1">
      <w:pPr>
        <w:pStyle w:val="2"/>
        <w:rPr>
          <w:rFonts w:hint="eastAsia"/>
          <w:lang w:eastAsia="zh-CN"/>
        </w:rPr>
      </w:pPr>
    </w:p>
    <w:p w14:paraId="5AAFC075">
      <w:pPr>
        <w:pStyle w:val="2"/>
        <w:rPr>
          <w:rFonts w:hint="eastAsia"/>
          <w:lang w:eastAsia="zh-CN"/>
        </w:rPr>
      </w:pPr>
    </w:p>
    <w:p w14:paraId="0C6FFD0E">
      <w:pPr>
        <w:pStyle w:val="154"/>
        <w:spacing w:before="312" w:after="312" w:line="320" w:lineRule="atLeast"/>
        <w:jc w:val="center"/>
        <w:rPr>
          <w:rFonts w:hint="eastAsia" w:ascii="宋体" w:eastAsia="宋体" w:cs="宋体"/>
          <w:color w:val="000000" w:themeColor="text1"/>
          <w:sz w:val="36"/>
          <w:szCs w:val="36"/>
          <w:lang w:eastAsia="zh-CN"/>
        </w:rPr>
      </w:pPr>
      <w:r>
        <w:rPr>
          <w:rFonts w:hint="eastAsia" w:ascii="宋体" w:eastAsia="宋体" w:cs="宋体"/>
          <w:color w:val="000000" w:themeColor="text1"/>
          <w:sz w:val="36"/>
          <w:szCs w:val="36"/>
          <w:lang w:eastAsia="zh-CN"/>
        </w:rPr>
        <w:t>第三章  项目需求</w:t>
      </w:r>
    </w:p>
    <w:bookmarkEnd w:id="1"/>
    <w:p w14:paraId="61FDED66">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bookmarkStart w:id="2" w:name="_Toc182848971"/>
      <w:r>
        <w:rPr>
          <w:rFonts w:hint="eastAsia" w:ascii="宋体" w:hAnsi="宋体" w:cs="宋体"/>
          <w:b/>
          <w:spacing w:val="7"/>
          <w:kern w:val="0"/>
          <w:sz w:val="28"/>
          <w:szCs w:val="28"/>
          <w:lang w:val="zh-CN" w:eastAsia="zh-CN"/>
        </w:rPr>
        <w:t xml:space="preserve">一、项目需求： </w:t>
      </w:r>
    </w:p>
    <w:p w14:paraId="2372A8C6">
      <w:pPr>
        <w:adjustRightInd w:val="0"/>
        <w:snapToGrid w:val="0"/>
        <w:spacing w:line="460" w:lineRule="exact"/>
        <w:ind w:firstLine="560" w:firstLineChars="200"/>
        <w:rPr>
          <w:rFonts w:hint="eastAsia" w:ascii="宋体" w:hAnsi="宋体" w:cs="宋体"/>
          <w:b w:val="0"/>
          <w:bCs w:val="0"/>
          <w:sz w:val="28"/>
          <w:szCs w:val="28"/>
          <w:lang w:val="zh-TW"/>
        </w:rPr>
      </w:pPr>
      <w:r>
        <w:rPr>
          <w:rFonts w:hint="eastAsia" w:ascii="宋体" w:hAnsi="宋体" w:cs="宋体"/>
          <w:b w:val="0"/>
          <w:bCs w:val="0"/>
          <w:sz w:val="28"/>
          <w:szCs w:val="28"/>
        </w:rPr>
        <w:t>1、</w:t>
      </w:r>
      <w:r>
        <w:rPr>
          <w:rFonts w:hint="eastAsia" w:ascii="宋体" w:hAnsi="宋体" w:cs="宋体"/>
          <w:b w:val="0"/>
          <w:bCs w:val="0"/>
          <w:sz w:val="28"/>
          <w:szCs w:val="28"/>
          <w:lang w:val="zh-TW"/>
        </w:rPr>
        <w:t>维保单位有义务确保</w:t>
      </w:r>
      <w:r>
        <w:rPr>
          <w:rFonts w:hint="eastAsia" w:ascii="宋体" w:hAnsi="宋体" w:cs="宋体"/>
          <w:b w:val="0"/>
          <w:bCs w:val="0"/>
          <w:sz w:val="28"/>
          <w:szCs w:val="28"/>
          <w:lang w:val="zh-TW" w:eastAsia="zh-CN"/>
        </w:rPr>
        <w:t>采购方</w:t>
      </w:r>
      <w:r>
        <w:rPr>
          <w:rFonts w:hint="eastAsia" w:ascii="宋体" w:hAnsi="宋体" w:cs="宋体"/>
          <w:b w:val="0"/>
          <w:bCs w:val="0"/>
          <w:sz w:val="28"/>
          <w:szCs w:val="28"/>
          <w:lang w:val="zh-TW"/>
        </w:rPr>
        <w:t>的维保设备处于良好、安全的工作状态</w:t>
      </w:r>
      <w:r>
        <w:rPr>
          <w:rFonts w:hint="eastAsia" w:ascii="宋体" w:hAnsi="宋体" w:cs="宋体"/>
          <w:b w:val="0"/>
          <w:bCs w:val="0"/>
          <w:sz w:val="28"/>
          <w:szCs w:val="28"/>
          <w:lang w:val="zh-TW" w:eastAsia="zh-CN"/>
        </w:rPr>
        <w:t>。严格按照</w:t>
      </w:r>
      <w:r>
        <w:rPr>
          <w:rFonts w:hint="eastAsia" w:ascii="宋体" w:hAnsi="宋体" w:cs="宋体"/>
          <w:b w:val="0"/>
          <w:bCs w:val="0"/>
          <w:sz w:val="28"/>
          <w:szCs w:val="28"/>
        </w:rPr>
        <w:t>电梯使用管理与维修保养规则TSG T5002－2017</w:t>
      </w:r>
      <w:r>
        <w:rPr>
          <w:rFonts w:hint="eastAsia" w:ascii="宋体" w:hAnsi="宋体" w:cs="宋体"/>
          <w:b w:val="0"/>
          <w:bCs w:val="0"/>
          <w:sz w:val="28"/>
          <w:szCs w:val="28"/>
          <w:lang w:eastAsia="zh-CN"/>
        </w:rPr>
        <w:t>、</w:t>
      </w:r>
      <w:r>
        <w:rPr>
          <w:rFonts w:hint="eastAsia" w:ascii="宋体" w:hAnsi="宋体" w:cs="宋体"/>
          <w:b w:val="0"/>
          <w:bCs w:val="0"/>
          <w:sz w:val="28"/>
          <w:szCs w:val="28"/>
        </w:rPr>
        <w:t>电梯维修保养安全管理规范DB22/T 3098-2020</w:t>
      </w:r>
      <w:r>
        <w:rPr>
          <w:rFonts w:hint="eastAsia" w:ascii="宋体" w:hAnsi="宋体" w:cs="宋体"/>
          <w:b w:val="0"/>
          <w:bCs w:val="0"/>
          <w:sz w:val="28"/>
          <w:szCs w:val="28"/>
          <w:lang w:eastAsia="zh-CN"/>
        </w:rPr>
        <w:t>、</w:t>
      </w:r>
      <w:r>
        <w:rPr>
          <w:rFonts w:hint="eastAsia" w:ascii="宋体" w:hAnsi="宋体" w:cs="宋体"/>
          <w:b w:val="0"/>
          <w:bCs w:val="0"/>
          <w:sz w:val="28"/>
          <w:szCs w:val="28"/>
        </w:rPr>
        <w:t>电梯维修规范GB/T 18775-2002</w:t>
      </w:r>
      <w:r>
        <w:rPr>
          <w:rFonts w:hint="eastAsia" w:ascii="宋体" w:hAnsi="宋体" w:cs="宋体"/>
          <w:b w:val="0"/>
          <w:bCs w:val="0"/>
          <w:sz w:val="28"/>
          <w:szCs w:val="28"/>
          <w:lang w:eastAsia="zh-CN"/>
        </w:rPr>
        <w:t>等标准进行维护保养。</w:t>
      </w:r>
      <w:r>
        <w:rPr>
          <w:rFonts w:hint="eastAsia" w:ascii="宋体" w:hAnsi="宋体" w:cs="宋体"/>
          <w:b w:val="0"/>
          <w:bCs w:val="0"/>
          <w:sz w:val="28"/>
          <w:szCs w:val="28"/>
        </w:rPr>
        <w:t>在合同规定的服务期内，</w:t>
      </w:r>
      <w:r>
        <w:rPr>
          <w:rFonts w:hint="eastAsia" w:ascii="宋体" w:hAnsi="宋体" w:cs="宋体"/>
          <w:b w:val="0"/>
          <w:bCs w:val="0"/>
          <w:sz w:val="28"/>
          <w:szCs w:val="28"/>
          <w:lang w:eastAsia="zh-CN"/>
        </w:rPr>
        <w:t>维保单位要</w:t>
      </w:r>
      <w:r>
        <w:rPr>
          <w:rFonts w:hint="eastAsia" w:ascii="宋体" w:hAnsi="宋体" w:cs="宋体"/>
          <w:b w:val="0"/>
          <w:bCs w:val="0"/>
          <w:sz w:val="28"/>
          <w:szCs w:val="28"/>
        </w:rPr>
        <w:t>提供每半月一次的定期巡检服务，</w:t>
      </w:r>
      <w:r>
        <w:rPr>
          <w:rFonts w:hint="eastAsia" w:ascii="宋体" w:hAnsi="宋体" w:cs="宋体"/>
          <w:b w:val="0"/>
          <w:bCs w:val="0"/>
          <w:sz w:val="28"/>
          <w:szCs w:val="28"/>
          <w:lang w:val="zh-TW"/>
        </w:rPr>
        <w:t>并认真做好巡检纪录。巡检内容包括电梯的运行状况，发现的问题及解决的方法。</w:t>
      </w:r>
    </w:p>
    <w:p w14:paraId="1745F6AA">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rPr>
        <w:t>2、维保过程中需更换的单件且单次总价在200元以上的设备、零部件、外送修理等，需经采购方现场确认后方可实施，保证电梯所更换配件均为原厂产品(提供原厂发货单或出库单)</w:t>
      </w:r>
      <w:r>
        <w:rPr>
          <w:rFonts w:hint="eastAsia" w:ascii="宋体" w:hAnsi="宋体" w:cs="宋体"/>
          <w:b w:val="0"/>
          <w:bCs w:val="0"/>
          <w:sz w:val="28"/>
          <w:szCs w:val="28"/>
          <w:lang w:eastAsia="zh-CN"/>
        </w:rPr>
        <w:t>。</w:t>
      </w:r>
    </w:p>
    <w:p w14:paraId="61DF72E3">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3、若由于维保单位在维保工作过程中损坏电梯或之外观时，维保单位有义务免费修复。</w:t>
      </w:r>
    </w:p>
    <w:p w14:paraId="6A43F97E">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维保单位须提供24小时的应急响应服务，全年无休故障响应服务，且能在接到故障或事故报警后30分钟内到达现场，并能提供正常连续的服务直至故障或事故排除。对电梯困人事故要求在到达现场后10分钟内把乘客从轿厢中救出、对非电子板原因的常见故障要求在60分钟内排除，对电子板原因的故障应在普遍认可的合理时间内解决。</w:t>
      </w:r>
    </w:p>
    <w:p w14:paraId="044F312D">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5、对更换下来的电子器件应由采购方保管或由采购方与维保单位共同销毁。</w:t>
      </w:r>
    </w:p>
    <w:p w14:paraId="21F098E0">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、如因使用不当造成电梯故障或零部件损坏，维保单位有责任负责及时将其修复或更换，使电梯恢复安全、正常运行。</w:t>
      </w:r>
    </w:p>
    <w:p w14:paraId="08D3183B">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lang w:val="en-US" w:eastAsia="zh-CN"/>
        </w:rPr>
        <w:t>、采购方的特种设备安全管理员将对维保单位的维保次数及项目进行质量监督。检查维保单位是否按时派出维保人员对电梯进行保养，保养是否严格遵照有关规定制定的维保计划按时逐项进行。</w:t>
      </w:r>
    </w:p>
    <w:p w14:paraId="7323FF48">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、采购方设备安全管理员将要求电梯维保人员提供有效的资格证件和做好每次的维修保养记录，特种设备安全管理员将在维修保养记录单上签名确认，定期将各记录整理归档，以备查阅。</w:t>
      </w:r>
    </w:p>
    <w:p w14:paraId="2D339302">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9</w:t>
      </w:r>
      <w:r>
        <w:rPr>
          <w:rFonts w:hint="eastAsia" w:ascii="宋体" w:hAnsi="宋体" w:eastAsia="宋体" w:cs="宋体"/>
          <w:b w:val="0"/>
          <w:bCs w:val="0"/>
          <w:sz w:val="28"/>
          <w:szCs w:val="28"/>
          <w:lang w:val="en-US" w:eastAsia="zh-CN"/>
        </w:rPr>
        <w:t>、维保单位必须严格做到维护要到位、隐患早发现、故障不放过。维保人员在维保过程中发现需更换零部件的，需拍照并以书面形式通知采购方，经确认同意后予以更换，更换后也应拍照形成对比，以保证电梯设备的安全运转。</w:t>
      </w:r>
    </w:p>
    <w:p w14:paraId="7F3C0C5D">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0</w:t>
      </w:r>
      <w:r>
        <w:rPr>
          <w:rFonts w:hint="eastAsia" w:ascii="宋体" w:hAnsi="宋体" w:eastAsia="宋体" w:cs="宋体"/>
          <w:b w:val="0"/>
          <w:bCs w:val="0"/>
          <w:sz w:val="28"/>
          <w:szCs w:val="28"/>
          <w:lang w:val="en-US" w:eastAsia="zh-CN"/>
        </w:rPr>
        <w:t>、维保单位应保持维修现场清洁畅通，材料和物件必须堆放整齐、稳固，以防坠落伤人。并根据任务单要求和实际情况，采取切实可行的安全防护措施，在层门外及轿厢内放置“电梯维修、暂停使用”的警示标志及维护警示栏，方可进行维修保养。</w:t>
      </w:r>
    </w:p>
    <w:p w14:paraId="2D8DEF86">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、维保周期应符合国家的相关规定或制造单位的维保要求。</w:t>
      </w:r>
    </w:p>
    <w:p w14:paraId="339E89D8">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lang w:val="en-US" w:eastAsia="zh-CN"/>
        </w:rPr>
        <w:t>、维修、保养前，首先提供书面告知单，经特种设备安全管理员确认后方可实施，如遇非工作日进行维修保养，维护单位应提前将告知单交特种设备管理人员确认。</w:t>
      </w:r>
    </w:p>
    <w:p w14:paraId="5C3BEB5E">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lang w:val="en-US" w:eastAsia="zh-CN"/>
        </w:rPr>
        <w:t>、维护保养、处理报修故障时发现安全部件或电梯的主要部件存在隐患时，必须立即停用电梯并设置警示标志。维保单位如因工作需要，而须停止设备工作，维保单位须预先向采购方报告，由采购方决定相应的停机时间。</w:t>
      </w:r>
    </w:p>
    <w:p w14:paraId="4CC85AB0">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lang w:val="en-US" w:eastAsia="zh-CN"/>
        </w:rPr>
        <w:t>、维保单位必须做到随叫随到，修理保养按时完成，质量达标，确保电梯正常运转。</w:t>
      </w:r>
    </w:p>
    <w:p w14:paraId="5A1B7753">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5</w:t>
      </w:r>
      <w:r>
        <w:rPr>
          <w:rFonts w:hint="eastAsia" w:ascii="宋体" w:hAnsi="宋体" w:eastAsia="宋体" w:cs="宋体"/>
          <w:b w:val="0"/>
          <w:bCs w:val="0"/>
          <w:sz w:val="28"/>
          <w:szCs w:val="28"/>
          <w:lang w:val="en-US" w:eastAsia="zh-CN"/>
        </w:rPr>
        <w:t>、维保过程中维保单位须自行负责安全管理工作，如因维保单位原因引起设备及人身发生意外事故的由维保单位承担全部责任。</w:t>
      </w:r>
    </w:p>
    <w:p w14:paraId="7F175351">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6</w:t>
      </w:r>
      <w:r>
        <w:rPr>
          <w:rFonts w:hint="eastAsia" w:ascii="宋体" w:hAnsi="宋体" w:eastAsia="宋体" w:cs="宋体"/>
          <w:b w:val="0"/>
          <w:bCs w:val="0"/>
          <w:sz w:val="28"/>
          <w:szCs w:val="28"/>
          <w:lang w:val="en-US" w:eastAsia="zh-CN"/>
        </w:rPr>
        <w:t>、有重大活动时，维保单位需派维修人员到达现场，提供现场监护服务。</w:t>
      </w:r>
    </w:p>
    <w:p w14:paraId="7195955A">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7</w:t>
      </w:r>
      <w:r>
        <w:rPr>
          <w:rFonts w:hint="eastAsia" w:ascii="宋体" w:hAnsi="宋体" w:eastAsia="宋体" w:cs="宋体"/>
          <w:b w:val="0"/>
          <w:bCs w:val="0"/>
          <w:sz w:val="28"/>
          <w:szCs w:val="28"/>
          <w:lang w:val="en-US" w:eastAsia="zh-CN"/>
        </w:rPr>
        <w:t>、维保操作人员必须持证上岗。</w:t>
      </w:r>
    </w:p>
    <w:p w14:paraId="14B9CEA2">
      <w:pPr>
        <w:adjustRightInd w:val="0"/>
        <w:snapToGrid w:val="0"/>
        <w:spacing w:line="46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、维保单位提供维修保养服务过程中所需要的、符合电梯设计要求的消耗材料。</w:t>
      </w:r>
    </w:p>
    <w:p w14:paraId="191277CB">
      <w:pPr>
        <w:adjustRightInd w:val="0"/>
        <w:snapToGrid w:val="0"/>
        <w:spacing w:line="460" w:lineRule="exact"/>
        <w:ind w:firstLine="560" w:firstLineChars="200"/>
        <w:rPr>
          <w:rFonts w:ascii="宋体" w:hAnsi="宋体" w:cs="宋体"/>
          <w:color w:val="000000" w:themeColor="text1"/>
          <w:sz w:val="24"/>
          <w:szCs w:val="24"/>
        </w:rPr>
      </w:pPr>
      <w:r>
        <w:rPr>
          <w:rFonts w:hint="eastAsia" w:ascii="宋体" w:hAnsi="宋体" w:cs="宋体"/>
          <w:b w:val="0"/>
          <w:bCs w:val="0"/>
          <w:sz w:val="28"/>
          <w:szCs w:val="28"/>
          <w:lang w:val="en-US" w:eastAsia="zh-CN"/>
        </w:rPr>
        <w:t>19</w:t>
      </w:r>
      <w:r>
        <w:rPr>
          <w:rFonts w:hint="eastAsia" w:ascii="宋体" w:hAnsi="宋体" w:eastAsia="宋体" w:cs="宋体"/>
          <w:b w:val="0"/>
          <w:bCs w:val="0"/>
          <w:sz w:val="28"/>
          <w:szCs w:val="28"/>
          <w:lang w:val="en-US" w:eastAsia="zh-CN"/>
        </w:rPr>
        <w:t>、在维保服务期内，维保方必须为每台电梯缴纳电梯责任保险费（每次事故责任限额≧500.00万元，每人责任限额≧80.00万元）</w:t>
      </w:r>
    </w:p>
    <w:p w14:paraId="5FE4F04B">
      <w:pPr>
        <w:widowControl/>
        <w:shd w:val="clear" w:color="auto" w:fill="FFFFFF"/>
        <w:adjustRightInd w:val="0"/>
        <w:snapToGrid w:val="0"/>
        <w:spacing w:line="46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二、维保电梯规格、数量</w:t>
      </w:r>
    </w:p>
    <w:tbl>
      <w:tblPr>
        <w:tblStyle w:val="53"/>
        <w:tblW w:w="8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804"/>
        <w:gridCol w:w="1418"/>
        <w:gridCol w:w="1842"/>
        <w:gridCol w:w="2410"/>
        <w:gridCol w:w="983"/>
      </w:tblGrid>
      <w:tr w14:paraId="4404A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580" w:type="dxa"/>
            <w:vAlign w:val="center"/>
          </w:tcPr>
          <w:p w14:paraId="2784B538">
            <w:pPr>
              <w:jc w:val="center"/>
              <w:rPr>
                <w:color w:val="000000" w:themeColor="text1"/>
                <w:sz w:val="22"/>
                <w:szCs w:val="22"/>
                <w:u w:color="000000"/>
                <w:lang w:val="zh-TW"/>
              </w:rPr>
            </w:pPr>
            <w:r>
              <w:rPr>
                <w:rFonts w:hAnsi="宋体"/>
                <w:color w:val="000000" w:themeColor="text1"/>
                <w:sz w:val="22"/>
                <w:szCs w:val="22"/>
                <w:u w:color="000000"/>
                <w:lang w:val="zh-TW"/>
              </w:rPr>
              <w:t>序号</w:t>
            </w:r>
          </w:p>
        </w:tc>
        <w:tc>
          <w:tcPr>
            <w:tcW w:w="804" w:type="dxa"/>
            <w:vAlign w:val="center"/>
          </w:tcPr>
          <w:p w14:paraId="63048859">
            <w:pPr>
              <w:jc w:val="center"/>
              <w:rPr>
                <w:color w:val="000000" w:themeColor="text1"/>
                <w:sz w:val="22"/>
                <w:szCs w:val="22"/>
                <w:u w:color="000000"/>
                <w:lang w:val="zh-TW"/>
              </w:rPr>
            </w:pPr>
            <w:r>
              <w:rPr>
                <w:rFonts w:hAnsi="宋体"/>
                <w:color w:val="000000" w:themeColor="text1"/>
                <w:sz w:val="22"/>
                <w:szCs w:val="22"/>
                <w:u w:color="000000"/>
                <w:lang w:val="zh-TW"/>
              </w:rPr>
              <w:t>梯号</w:t>
            </w:r>
          </w:p>
        </w:tc>
        <w:tc>
          <w:tcPr>
            <w:tcW w:w="1418" w:type="dxa"/>
            <w:tcBorders>
              <w:right w:val="single" w:color="auto" w:sz="4" w:space="0"/>
            </w:tcBorders>
            <w:vAlign w:val="center"/>
          </w:tcPr>
          <w:p w14:paraId="1B2A0867">
            <w:pPr>
              <w:jc w:val="center"/>
              <w:rPr>
                <w:color w:val="000000" w:themeColor="text1"/>
                <w:sz w:val="22"/>
                <w:szCs w:val="22"/>
                <w:u w:color="000000"/>
                <w:lang w:val="zh-TW"/>
              </w:rPr>
            </w:pPr>
            <w:r>
              <w:rPr>
                <w:rFonts w:hAnsi="宋体"/>
                <w:color w:val="000000" w:themeColor="text1"/>
                <w:sz w:val="22"/>
                <w:szCs w:val="22"/>
                <w:u w:color="000000"/>
                <w:lang w:val="zh-TW"/>
              </w:rPr>
              <w:t>品牌</w:t>
            </w:r>
          </w:p>
        </w:tc>
        <w:tc>
          <w:tcPr>
            <w:tcW w:w="1842" w:type="dxa"/>
            <w:tcBorders>
              <w:left w:val="single" w:color="auto" w:sz="4" w:space="0"/>
            </w:tcBorders>
            <w:vAlign w:val="center"/>
          </w:tcPr>
          <w:p w14:paraId="458AA73E">
            <w:pPr>
              <w:jc w:val="center"/>
              <w:rPr>
                <w:color w:val="000000" w:themeColor="text1"/>
                <w:sz w:val="22"/>
                <w:szCs w:val="22"/>
                <w:u w:color="000000"/>
                <w:lang w:val="zh-TW"/>
              </w:rPr>
            </w:pPr>
            <w:r>
              <w:rPr>
                <w:rFonts w:hAnsi="宋体"/>
                <w:color w:val="000000" w:themeColor="text1"/>
                <w:sz w:val="22"/>
                <w:szCs w:val="22"/>
                <w:u w:color="000000"/>
                <w:lang w:val="zh-TW"/>
              </w:rPr>
              <w:t>规格型号</w:t>
            </w:r>
          </w:p>
        </w:tc>
        <w:tc>
          <w:tcPr>
            <w:tcW w:w="2410" w:type="dxa"/>
            <w:vAlign w:val="center"/>
          </w:tcPr>
          <w:p w14:paraId="702FA47A">
            <w:pPr>
              <w:jc w:val="center"/>
              <w:rPr>
                <w:color w:val="000000" w:themeColor="text1"/>
                <w:sz w:val="22"/>
                <w:szCs w:val="22"/>
                <w:u w:color="000000"/>
                <w:lang w:val="zh-TW"/>
              </w:rPr>
            </w:pPr>
            <w:r>
              <w:rPr>
                <w:rFonts w:hAnsi="宋体"/>
                <w:color w:val="000000" w:themeColor="text1"/>
                <w:sz w:val="22"/>
                <w:szCs w:val="22"/>
                <w:u w:color="000000"/>
                <w:lang w:val="zh-TW"/>
              </w:rPr>
              <w:t>（层</w:t>
            </w:r>
            <w:r>
              <w:rPr>
                <w:color w:val="000000" w:themeColor="text1"/>
                <w:sz w:val="22"/>
                <w:szCs w:val="22"/>
                <w:u w:color="000000"/>
                <w:lang w:val="zh-TW"/>
              </w:rPr>
              <w:t>/</w:t>
            </w:r>
            <w:r>
              <w:rPr>
                <w:rFonts w:hAnsi="宋体"/>
                <w:color w:val="000000" w:themeColor="text1"/>
                <w:sz w:val="22"/>
                <w:szCs w:val="22"/>
                <w:u w:color="000000"/>
                <w:lang w:val="zh-TW"/>
              </w:rPr>
              <w:t>站</w:t>
            </w:r>
            <w:r>
              <w:rPr>
                <w:color w:val="000000" w:themeColor="text1"/>
                <w:sz w:val="22"/>
                <w:szCs w:val="22"/>
                <w:u w:color="000000"/>
                <w:lang w:val="zh-TW"/>
              </w:rPr>
              <w:t>/</w:t>
            </w:r>
            <w:r>
              <w:rPr>
                <w:rFonts w:hAnsi="宋体"/>
                <w:color w:val="000000" w:themeColor="text1"/>
                <w:sz w:val="22"/>
                <w:szCs w:val="22"/>
                <w:u w:color="000000"/>
                <w:lang w:val="zh-TW"/>
              </w:rPr>
              <w:t>门）</w:t>
            </w:r>
          </w:p>
          <w:p w14:paraId="44FD830C">
            <w:pPr>
              <w:jc w:val="center"/>
              <w:rPr>
                <w:color w:val="000000" w:themeColor="text1"/>
                <w:sz w:val="22"/>
                <w:szCs w:val="22"/>
                <w:u w:color="000000"/>
                <w:lang w:val="zh-TW"/>
              </w:rPr>
            </w:pPr>
            <w:r>
              <w:rPr>
                <w:rFonts w:hAnsi="宋体"/>
                <w:color w:val="000000" w:themeColor="text1"/>
                <w:sz w:val="22"/>
                <w:szCs w:val="22"/>
                <w:u w:color="000000"/>
                <w:lang w:val="zh-TW"/>
              </w:rPr>
              <w:t>（提升高度</w:t>
            </w:r>
            <w:r>
              <w:rPr>
                <w:color w:val="000000" w:themeColor="text1"/>
                <w:sz w:val="22"/>
                <w:szCs w:val="22"/>
                <w:u w:color="000000"/>
                <w:lang w:val="zh-TW"/>
              </w:rPr>
              <w:t>/</w:t>
            </w:r>
            <w:r>
              <w:rPr>
                <w:rFonts w:hAnsi="宋体"/>
                <w:color w:val="000000" w:themeColor="text1"/>
                <w:sz w:val="22"/>
                <w:szCs w:val="22"/>
                <w:u w:color="000000"/>
                <w:lang w:val="zh-TW"/>
              </w:rPr>
              <w:t>角度）</w:t>
            </w:r>
          </w:p>
        </w:tc>
        <w:tc>
          <w:tcPr>
            <w:tcW w:w="983" w:type="dxa"/>
            <w:tcBorders>
              <w:right w:val="single" w:color="auto" w:sz="4" w:space="0"/>
            </w:tcBorders>
            <w:vAlign w:val="center"/>
          </w:tcPr>
          <w:p w14:paraId="654C5074">
            <w:pPr>
              <w:jc w:val="center"/>
              <w:rPr>
                <w:color w:val="000000" w:themeColor="text1"/>
                <w:sz w:val="22"/>
                <w:szCs w:val="22"/>
                <w:u w:color="000000"/>
                <w:lang w:val="zh-TW"/>
              </w:rPr>
            </w:pPr>
            <w:r>
              <w:rPr>
                <w:rFonts w:hint="eastAsia" w:hAnsi="宋体"/>
                <w:color w:val="000000" w:themeColor="text1"/>
                <w:sz w:val="22"/>
                <w:szCs w:val="22"/>
                <w:u w:color="000000"/>
                <w:lang w:val="zh-TW"/>
              </w:rPr>
              <w:t>已</w:t>
            </w:r>
            <w:r>
              <w:rPr>
                <w:rFonts w:hAnsi="宋体"/>
                <w:color w:val="000000" w:themeColor="text1"/>
                <w:sz w:val="22"/>
                <w:szCs w:val="22"/>
                <w:u w:color="000000"/>
                <w:lang w:val="zh-TW"/>
              </w:rPr>
              <w:t>使用</w:t>
            </w:r>
          </w:p>
          <w:p w14:paraId="021C8CB7">
            <w:pPr>
              <w:jc w:val="center"/>
              <w:rPr>
                <w:color w:val="000000" w:themeColor="text1"/>
                <w:sz w:val="22"/>
                <w:szCs w:val="22"/>
                <w:u w:color="000000"/>
                <w:lang w:val="zh-TW"/>
              </w:rPr>
            </w:pPr>
            <w:r>
              <w:rPr>
                <w:rFonts w:hAnsi="宋体"/>
                <w:color w:val="000000" w:themeColor="text1"/>
                <w:sz w:val="22"/>
                <w:szCs w:val="22"/>
                <w:u w:color="000000"/>
                <w:lang w:val="zh-TW"/>
              </w:rPr>
              <w:t>年限</w:t>
            </w:r>
          </w:p>
        </w:tc>
      </w:tr>
      <w:tr w14:paraId="382F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80" w:type="dxa"/>
            <w:vAlign w:val="center"/>
          </w:tcPr>
          <w:p w14:paraId="0E2BA012">
            <w:pPr>
              <w:jc w:val="center"/>
              <w:rPr>
                <w:color w:val="000000" w:themeColor="text1"/>
                <w:sz w:val="22"/>
                <w:szCs w:val="22"/>
                <w:u w:color="000000"/>
                <w:lang w:val="zh-TW"/>
              </w:rPr>
            </w:pPr>
            <w:r>
              <w:rPr>
                <w:rFonts w:hint="eastAsia"/>
                <w:color w:val="000000" w:themeColor="text1"/>
                <w:sz w:val="22"/>
                <w:szCs w:val="22"/>
                <w:u w:color="000000"/>
                <w:lang w:val="zh-TW"/>
              </w:rPr>
              <w:t>1</w:t>
            </w:r>
          </w:p>
        </w:tc>
        <w:tc>
          <w:tcPr>
            <w:tcW w:w="804" w:type="dxa"/>
            <w:vAlign w:val="center"/>
          </w:tcPr>
          <w:p w14:paraId="737B0C2E">
            <w:pPr>
              <w:jc w:val="center"/>
              <w:rPr>
                <w:color w:val="000000" w:themeColor="text1"/>
                <w:sz w:val="22"/>
                <w:szCs w:val="22"/>
                <w:u w:color="000000"/>
                <w:lang w:val="zh-TW"/>
              </w:rPr>
            </w:pPr>
            <w:r>
              <w:rPr>
                <w:rFonts w:hint="eastAsia"/>
                <w:color w:val="000000" w:themeColor="text1"/>
                <w:sz w:val="22"/>
                <w:szCs w:val="22"/>
                <w:u w:color="000000"/>
                <w:lang w:val="zh-TW"/>
              </w:rPr>
              <w:t>1</w:t>
            </w:r>
          </w:p>
        </w:tc>
        <w:tc>
          <w:tcPr>
            <w:tcW w:w="1418" w:type="dxa"/>
            <w:tcBorders>
              <w:right w:val="single" w:color="auto" w:sz="4" w:space="0"/>
            </w:tcBorders>
            <w:vAlign w:val="center"/>
          </w:tcPr>
          <w:p w14:paraId="46502E54">
            <w:pPr>
              <w:jc w:val="center"/>
              <w:rPr>
                <w:color w:val="000000" w:themeColor="text1"/>
                <w:sz w:val="22"/>
                <w:szCs w:val="22"/>
                <w:u w:color="000000"/>
                <w:lang w:val="zh-TW"/>
              </w:rPr>
            </w:pPr>
            <w:r>
              <w:rPr>
                <w:rFonts w:hint="eastAsia"/>
                <w:color w:val="000000" w:themeColor="text1"/>
                <w:sz w:val="22"/>
                <w:szCs w:val="22"/>
                <w:u w:color="000000"/>
                <w:lang w:val="zh-TW"/>
              </w:rPr>
              <w:t>通力电梯</w:t>
            </w:r>
          </w:p>
        </w:tc>
        <w:tc>
          <w:tcPr>
            <w:tcW w:w="1842" w:type="dxa"/>
            <w:tcBorders>
              <w:left w:val="single" w:color="auto" w:sz="4" w:space="0"/>
            </w:tcBorders>
            <w:vAlign w:val="center"/>
          </w:tcPr>
          <w:p w14:paraId="71F42BC5">
            <w:pPr>
              <w:jc w:val="center"/>
              <w:rPr>
                <w:rFonts w:hAnsi="宋体"/>
                <w:color w:val="000000" w:themeColor="text1"/>
                <w:sz w:val="22"/>
                <w:szCs w:val="22"/>
                <w:u w:color="000000"/>
                <w:lang w:val="zh-TW"/>
              </w:rPr>
            </w:pPr>
            <w:r>
              <w:rPr>
                <w:rFonts w:hAnsi="宋体"/>
                <w:color w:val="000000" w:themeColor="text1"/>
                <w:sz w:val="22"/>
                <w:szCs w:val="22"/>
                <w:u w:color="000000"/>
                <w:lang w:val="zh-TW"/>
              </w:rPr>
              <w:t>KONE MonoSpace</w:t>
            </w:r>
          </w:p>
        </w:tc>
        <w:tc>
          <w:tcPr>
            <w:tcW w:w="2410" w:type="dxa"/>
            <w:vAlign w:val="center"/>
          </w:tcPr>
          <w:p w14:paraId="4E7E49F4">
            <w:pPr>
              <w:jc w:val="center"/>
              <w:rPr>
                <w:rFonts w:hAnsi="宋体"/>
                <w:color w:val="000000" w:themeColor="text1"/>
                <w:sz w:val="22"/>
                <w:szCs w:val="22"/>
                <w:u w:color="000000"/>
                <w:lang w:val="zh-TW"/>
              </w:rPr>
            </w:pPr>
            <w:r>
              <w:rPr>
                <w:rFonts w:hAnsi="宋体"/>
                <w:color w:val="000000" w:themeColor="text1"/>
                <w:sz w:val="22"/>
                <w:szCs w:val="22"/>
                <w:u w:color="000000"/>
                <w:lang w:val="zh-TW"/>
              </w:rPr>
              <w:t>3层3站3门</w:t>
            </w:r>
          </w:p>
        </w:tc>
        <w:tc>
          <w:tcPr>
            <w:tcW w:w="983" w:type="dxa"/>
            <w:vAlign w:val="center"/>
          </w:tcPr>
          <w:p w14:paraId="3BB52FB5">
            <w:pPr>
              <w:jc w:val="center"/>
              <w:rPr>
                <w:rFonts w:hint="default" w:eastAsia="宋体"/>
                <w:color w:val="auto"/>
                <w:sz w:val="22"/>
                <w:szCs w:val="22"/>
                <w:u w:color="000000"/>
                <w:lang w:val="en-US" w:eastAsia="zh-CN"/>
              </w:rPr>
            </w:pPr>
            <w:r>
              <w:rPr>
                <w:rFonts w:hint="eastAsia"/>
                <w:color w:val="auto"/>
                <w:sz w:val="22"/>
                <w:szCs w:val="22"/>
                <w:u w:color="000000"/>
                <w:lang w:val="en-US" w:eastAsia="zh-CN"/>
              </w:rPr>
              <w:t>11</w:t>
            </w:r>
          </w:p>
        </w:tc>
      </w:tr>
      <w:tr w14:paraId="40337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80" w:type="dxa"/>
            <w:vAlign w:val="center"/>
          </w:tcPr>
          <w:p w14:paraId="669DA4DC">
            <w:pPr>
              <w:jc w:val="center"/>
              <w:rPr>
                <w:color w:val="000000" w:themeColor="text1"/>
                <w:sz w:val="22"/>
                <w:szCs w:val="22"/>
                <w:u w:color="000000"/>
                <w:lang w:val="zh-TW"/>
              </w:rPr>
            </w:pPr>
            <w:r>
              <w:rPr>
                <w:rFonts w:hint="eastAsia"/>
                <w:color w:val="000000" w:themeColor="text1"/>
                <w:sz w:val="22"/>
                <w:szCs w:val="22"/>
                <w:u w:color="000000"/>
                <w:lang w:val="zh-TW"/>
              </w:rPr>
              <w:t>2</w:t>
            </w:r>
          </w:p>
        </w:tc>
        <w:tc>
          <w:tcPr>
            <w:tcW w:w="804" w:type="dxa"/>
            <w:vAlign w:val="center"/>
          </w:tcPr>
          <w:p w14:paraId="00F69017">
            <w:pPr>
              <w:jc w:val="center"/>
              <w:rPr>
                <w:color w:val="000000" w:themeColor="text1"/>
                <w:sz w:val="22"/>
                <w:szCs w:val="22"/>
                <w:u w:color="000000"/>
                <w:lang w:val="zh-TW"/>
              </w:rPr>
            </w:pPr>
            <w:r>
              <w:rPr>
                <w:rFonts w:hint="eastAsia"/>
                <w:color w:val="000000" w:themeColor="text1"/>
                <w:sz w:val="22"/>
                <w:szCs w:val="22"/>
                <w:u w:color="000000"/>
                <w:lang w:val="zh-TW"/>
              </w:rPr>
              <w:t>2</w:t>
            </w:r>
          </w:p>
        </w:tc>
        <w:tc>
          <w:tcPr>
            <w:tcW w:w="1418" w:type="dxa"/>
            <w:tcBorders>
              <w:right w:val="single" w:color="auto" w:sz="4" w:space="0"/>
            </w:tcBorders>
            <w:vAlign w:val="center"/>
          </w:tcPr>
          <w:p w14:paraId="4A9F0E3F">
            <w:pPr>
              <w:jc w:val="center"/>
              <w:rPr>
                <w:color w:val="000000" w:themeColor="text1"/>
                <w:sz w:val="22"/>
                <w:szCs w:val="22"/>
                <w:u w:color="000000"/>
                <w:lang w:val="zh-TW"/>
              </w:rPr>
            </w:pPr>
            <w:r>
              <w:rPr>
                <w:rFonts w:hint="eastAsia"/>
                <w:color w:val="000000" w:themeColor="text1"/>
                <w:sz w:val="22"/>
                <w:szCs w:val="22"/>
                <w:u w:color="000000"/>
                <w:lang w:val="zh-TW"/>
              </w:rPr>
              <w:t>通力电梯</w:t>
            </w:r>
          </w:p>
        </w:tc>
        <w:tc>
          <w:tcPr>
            <w:tcW w:w="1842" w:type="dxa"/>
            <w:tcBorders>
              <w:left w:val="single" w:color="auto" w:sz="4" w:space="0"/>
            </w:tcBorders>
            <w:vAlign w:val="center"/>
          </w:tcPr>
          <w:p w14:paraId="74D0CD15">
            <w:pPr>
              <w:jc w:val="center"/>
              <w:rPr>
                <w:rFonts w:hAnsi="宋体"/>
                <w:color w:val="000000" w:themeColor="text1"/>
                <w:sz w:val="22"/>
                <w:szCs w:val="22"/>
                <w:u w:color="000000"/>
                <w:lang w:val="zh-TW"/>
              </w:rPr>
            </w:pPr>
            <w:r>
              <w:rPr>
                <w:rFonts w:hAnsi="宋体"/>
                <w:color w:val="000000" w:themeColor="text1"/>
                <w:sz w:val="22"/>
                <w:szCs w:val="22"/>
                <w:u w:color="000000"/>
                <w:lang w:val="zh-TW"/>
              </w:rPr>
              <w:t>KONE MonoSpace</w:t>
            </w:r>
          </w:p>
        </w:tc>
        <w:tc>
          <w:tcPr>
            <w:tcW w:w="2410" w:type="dxa"/>
            <w:vAlign w:val="center"/>
          </w:tcPr>
          <w:p w14:paraId="4600A0D6">
            <w:pPr>
              <w:jc w:val="center"/>
              <w:rPr>
                <w:rFonts w:hAnsi="宋体"/>
                <w:color w:val="000000" w:themeColor="text1"/>
                <w:sz w:val="22"/>
                <w:szCs w:val="22"/>
                <w:u w:color="000000"/>
                <w:lang w:val="zh-TW"/>
              </w:rPr>
            </w:pPr>
            <w:r>
              <w:rPr>
                <w:rFonts w:hAnsi="宋体"/>
                <w:color w:val="000000" w:themeColor="text1"/>
                <w:sz w:val="22"/>
                <w:szCs w:val="22"/>
                <w:u w:color="000000"/>
                <w:lang w:val="zh-TW"/>
              </w:rPr>
              <w:t>4层4站4门</w:t>
            </w:r>
          </w:p>
        </w:tc>
        <w:tc>
          <w:tcPr>
            <w:tcW w:w="983" w:type="dxa"/>
            <w:vAlign w:val="center"/>
          </w:tcPr>
          <w:p w14:paraId="06947034">
            <w:pPr>
              <w:jc w:val="center"/>
              <w:rPr>
                <w:rFonts w:hint="default" w:eastAsia="宋体"/>
                <w:color w:val="auto"/>
                <w:sz w:val="22"/>
                <w:szCs w:val="22"/>
                <w:u w:color="000000"/>
                <w:lang w:val="en-US" w:eastAsia="zh-CN"/>
              </w:rPr>
            </w:pPr>
            <w:r>
              <w:rPr>
                <w:rFonts w:hint="eastAsia"/>
                <w:color w:val="auto"/>
                <w:sz w:val="22"/>
                <w:szCs w:val="22"/>
                <w:u w:color="000000"/>
                <w:lang w:val="en-US" w:eastAsia="zh-CN"/>
              </w:rPr>
              <w:t>11</w:t>
            </w:r>
          </w:p>
        </w:tc>
      </w:tr>
      <w:tr w14:paraId="43BBF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80" w:type="dxa"/>
            <w:vAlign w:val="center"/>
          </w:tcPr>
          <w:p w14:paraId="52CAA312">
            <w:pPr>
              <w:jc w:val="center"/>
              <w:rPr>
                <w:color w:val="000000" w:themeColor="text1"/>
                <w:sz w:val="22"/>
                <w:szCs w:val="22"/>
                <w:u w:color="000000"/>
                <w:lang w:val="zh-TW"/>
              </w:rPr>
            </w:pPr>
            <w:r>
              <w:rPr>
                <w:rFonts w:hint="eastAsia"/>
                <w:color w:val="000000" w:themeColor="text1"/>
                <w:sz w:val="22"/>
                <w:szCs w:val="22"/>
                <w:u w:color="000000"/>
                <w:lang w:val="zh-TW"/>
              </w:rPr>
              <w:t>3</w:t>
            </w:r>
          </w:p>
        </w:tc>
        <w:tc>
          <w:tcPr>
            <w:tcW w:w="804" w:type="dxa"/>
            <w:vAlign w:val="center"/>
          </w:tcPr>
          <w:p w14:paraId="10C03DC5">
            <w:pPr>
              <w:jc w:val="center"/>
              <w:rPr>
                <w:color w:val="000000" w:themeColor="text1"/>
                <w:sz w:val="22"/>
                <w:szCs w:val="22"/>
                <w:u w:color="000000"/>
                <w:lang w:val="zh-TW"/>
              </w:rPr>
            </w:pPr>
            <w:r>
              <w:rPr>
                <w:rFonts w:hint="eastAsia"/>
                <w:color w:val="000000" w:themeColor="text1"/>
                <w:sz w:val="22"/>
                <w:szCs w:val="22"/>
                <w:u w:color="000000"/>
                <w:lang w:val="zh-TW"/>
              </w:rPr>
              <w:t>3</w:t>
            </w:r>
          </w:p>
        </w:tc>
        <w:tc>
          <w:tcPr>
            <w:tcW w:w="1418" w:type="dxa"/>
            <w:tcBorders>
              <w:right w:val="single" w:color="auto" w:sz="4" w:space="0"/>
            </w:tcBorders>
            <w:vAlign w:val="center"/>
          </w:tcPr>
          <w:p w14:paraId="4E2AB38F">
            <w:pPr>
              <w:jc w:val="center"/>
              <w:rPr>
                <w:color w:val="000000" w:themeColor="text1"/>
                <w:sz w:val="22"/>
                <w:szCs w:val="22"/>
                <w:u w:color="000000"/>
                <w:lang w:val="zh-TW"/>
              </w:rPr>
            </w:pPr>
            <w:r>
              <w:rPr>
                <w:rFonts w:hint="eastAsia"/>
                <w:color w:val="000000" w:themeColor="text1"/>
                <w:sz w:val="22"/>
                <w:szCs w:val="22"/>
                <w:u w:color="000000"/>
                <w:lang w:val="zh-TW"/>
              </w:rPr>
              <w:t>通力电梯</w:t>
            </w:r>
          </w:p>
        </w:tc>
        <w:tc>
          <w:tcPr>
            <w:tcW w:w="1842" w:type="dxa"/>
            <w:tcBorders>
              <w:left w:val="single" w:color="auto" w:sz="4" w:space="0"/>
            </w:tcBorders>
            <w:vAlign w:val="center"/>
          </w:tcPr>
          <w:p w14:paraId="55C70E1E">
            <w:pPr>
              <w:jc w:val="center"/>
              <w:rPr>
                <w:rFonts w:hAnsi="宋体"/>
                <w:color w:val="000000" w:themeColor="text1"/>
                <w:sz w:val="22"/>
                <w:szCs w:val="22"/>
                <w:u w:color="000000"/>
                <w:lang w:val="zh-TW"/>
              </w:rPr>
            </w:pPr>
            <w:r>
              <w:rPr>
                <w:rFonts w:hAnsi="宋体"/>
                <w:color w:val="000000" w:themeColor="text1"/>
                <w:sz w:val="22"/>
                <w:szCs w:val="22"/>
                <w:u w:color="000000"/>
                <w:lang w:val="zh-TW"/>
              </w:rPr>
              <w:t>KONE MonoSpace</w:t>
            </w:r>
          </w:p>
        </w:tc>
        <w:tc>
          <w:tcPr>
            <w:tcW w:w="2410" w:type="dxa"/>
            <w:vAlign w:val="center"/>
          </w:tcPr>
          <w:p w14:paraId="52A821FD">
            <w:pPr>
              <w:jc w:val="center"/>
              <w:rPr>
                <w:rFonts w:hAnsi="宋体"/>
                <w:color w:val="000000" w:themeColor="text1"/>
                <w:sz w:val="22"/>
                <w:szCs w:val="22"/>
                <w:u w:color="000000"/>
                <w:lang w:val="zh-TW"/>
              </w:rPr>
            </w:pPr>
            <w:r>
              <w:rPr>
                <w:rFonts w:hAnsi="宋体"/>
                <w:color w:val="000000" w:themeColor="text1"/>
                <w:sz w:val="22"/>
                <w:szCs w:val="22"/>
                <w:u w:color="000000"/>
                <w:lang w:val="zh-TW"/>
              </w:rPr>
              <w:t>4层4站4门</w:t>
            </w:r>
          </w:p>
        </w:tc>
        <w:tc>
          <w:tcPr>
            <w:tcW w:w="983" w:type="dxa"/>
            <w:vAlign w:val="center"/>
          </w:tcPr>
          <w:p w14:paraId="45D9BBBF">
            <w:pPr>
              <w:jc w:val="center"/>
              <w:rPr>
                <w:rFonts w:hint="default" w:eastAsia="宋体"/>
                <w:color w:val="auto"/>
                <w:sz w:val="22"/>
                <w:szCs w:val="22"/>
                <w:u w:color="000000"/>
                <w:lang w:val="en-US" w:eastAsia="zh-CN"/>
              </w:rPr>
            </w:pPr>
            <w:r>
              <w:rPr>
                <w:rFonts w:hint="eastAsia"/>
                <w:color w:val="auto"/>
                <w:sz w:val="22"/>
                <w:szCs w:val="22"/>
                <w:u w:color="000000"/>
                <w:lang w:val="en-US" w:eastAsia="zh-CN"/>
              </w:rPr>
              <w:t>11</w:t>
            </w:r>
          </w:p>
        </w:tc>
      </w:tr>
    </w:tbl>
    <w:p w14:paraId="3992490D">
      <w:pPr>
        <w:adjustRightInd w:val="0"/>
        <w:snapToGrid w:val="0"/>
        <w:spacing w:line="460" w:lineRule="exact"/>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可现场进行勘察，勘察时间：工作日9:00-11:30,13</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30-5:00</w:t>
      </w:r>
      <w:r>
        <w:rPr>
          <w:rFonts w:hint="eastAsia" w:ascii="宋体" w:hAnsi="宋体" w:cs="宋体"/>
          <w:b w:val="0"/>
          <w:bCs w:val="0"/>
          <w:sz w:val="28"/>
          <w:szCs w:val="28"/>
          <w:lang w:val="en-US" w:eastAsia="zh-CN"/>
        </w:rPr>
        <w:t>。</w:t>
      </w:r>
    </w:p>
    <w:p w14:paraId="525F4924">
      <w:pPr>
        <w:snapToGrid w:val="0"/>
        <w:spacing w:line="360" w:lineRule="auto"/>
        <w:ind w:firstLine="590" w:firstLineChars="200"/>
        <w:rPr>
          <w:rFonts w:ascii="黑体" w:eastAsia="黑体" w:cs="Arial"/>
          <w:color w:val="000000" w:themeColor="text1"/>
          <w:sz w:val="30"/>
          <w:szCs w:val="30"/>
          <w:shd w:val="pct10" w:color="auto" w:fill="FFFFFF"/>
        </w:rPr>
      </w:pPr>
      <w:r>
        <w:rPr>
          <w:rFonts w:hint="eastAsia" w:ascii="宋体" w:hAnsi="宋体" w:cs="宋体"/>
          <w:b/>
          <w:spacing w:val="7"/>
          <w:kern w:val="0"/>
          <w:sz w:val="28"/>
          <w:szCs w:val="28"/>
          <w:lang w:val="zh-CN" w:eastAsia="zh-CN"/>
        </w:rPr>
        <w:t xml:space="preserve">三、电梯全责保养项目   </w:t>
      </w:r>
      <w:r>
        <w:rPr>
          <w:rFonts w:ascii="黑体" w:eastAsia="黑体" w:cs="Arial"/>
          <w:color w:val="000000" w:themeColor="text1"/>
          <w:sz w:val="30"/>
          <w:szCs w:val="30"/>
        </w:rPr>
        <w:t xml:space="preserve">                                     </w:t>
      </w:r>
    </w:p>
    <w:tbl>
      <w:tblPr>
        <w:tblStyle w:val="53"/>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2700"/>
        <w:gridCol w:w="2467"/>
      </w:tblGrid>
      <w:tr w14:paraId="3E2D4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top w:val="single" w:color="auto" w:sz="12" w:space="0"/>
              <w:left w:val="single" w:color="auto" w:sz="12" w:space="0"/>
              <w:right w:val="single" w:color="auto" w:sz="12" w:space="0"/>
            </w:tcBorders>
            <w:vAlign w:val="center"/>
          </w:tcPr>
          <w:p w14:paraId="53A86078">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驱动马达、发动机之震动、噪音、温度、臭味、漏油、润滑等概况检查。</w:t>
            </w:r>
          </w:p>
        </w:tc>
      </w:tr>
      <w:tr w14:paraId="6B07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8E9815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曳引机主轮及偏位轮之轴承注油与曳引机异状之检查</w:t>
            </w:r>
          </w:p>
        </w:tc>
      </w:tr>
      <w:tr w14:paraId="2455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406431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曳引机主轮上下钢索使用状况之检查</w:t>
            </w:r>
          </w:p>
        </w:tc>
      </w:tr>
      <w:tr w14:paraId="50E6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464E723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曳引机换齿轮油。</w:t>
            </w:r>
          </w:p>
        </w:tc>
      </w:tr>
      <w:tr w14:paraId="1D9C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6D6ADDF">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各轴承部换黄油。</w:t>
            </w:r>
          </w:p>
        </w:tc>
      </w:tr>
      <w:tr w14:paraId="7C5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B2F3839">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电磁刹车器动作性能叫镇校正</w:t>
            </w:r>
          </w:p>
        </w:tc>
      </w:tr>
      <w:tr w14:paraId="2AE9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688B5CF">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电磁刹车器分解清理、活动轴承上油</w:t>
            </w:r>
          </w:p>
        </w:tc>
      </w:tr>
      <w:tr w14:paraId="44C3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99DF7E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电磁刹车器来令状况之检查</w:t>
            </w:r>
          </w:p>
        </w:tc>
      </w:tr>
      <w:tr w14:paraId="55AF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4413238C">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调速机轴承机构注油</w:t>
            </w:r>
          </w:p>
        </w:tc>
      </w:tr>
      <w:tr w14:paraId="6C14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CE02E0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调速机性能检查（钢索、电气、机械动作性能）</w:t>
            </w:r>
          </w:p>
        </w:tc>
      </w:tr>
      <w:tr w14:paraId="340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3DCA8FE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机房环境清理。</w:t>
            </w:r>
          </w:p>
        </w:tc>
      </w:tr>
      <w:tr w14:paraId="2B92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1A2425B">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控制盘、选择机内部清扫并检查各部之动作情况</w:t>
            </w:r>
          </w:p>
        </w:tc>
      </w:tr>
      <w:tr w14:paraId="0834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0FEAA7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各电动机器结线部去污清理并锁紧螺丝</w:t>
            </w:r>
          </w:p>
        </w:tc>
      </w:tr>
      <w:tr w14:paraId="4153C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3948C818">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控制盘内状况检查（电阻、电容器、接点、印刷电路板清洁）</w:t>
            </w:r>
          </w:p>
        </w:tc>
      </w:tr>
      <w:tr w14:paraId="246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CF599F2">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电源开关、电源负荷、电流测验</w:t>
            </w:r>
          </w:p>
        </w:tc>
      </w:tr>
      <w:tr w14:paraId="29A2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59D415A">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接地线检查</w:t>
            </w:r>
          </w:p>
        </w:tc>
      </w:tr>
      <w:tr w14:paraId="2924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9D0E539">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年度保养综合安全检查和性能确认</w:t>
            </w:r>
          </w:p>
        </w:tc>
      </w:tr>
      <w:tr w14:paraId="4ACE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999388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导滑片之磨损检查</w:t>
            </w:r>
          </w:p>
        </w:tc>
      </w:tr>
      <w:tr w14:paraId="2C4A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948DC7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导滑器轴承之黄油补给</w:t>
            </w:r>
          </w:p>
        </w:tc>
      </w:tr>
      <w:tr w14:paraId="0393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30BA95C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铁轨状态、油杯油量检点</w:t>
            </w:r>
          </w:p>
        </w:tc>
      </w:tr>
      <w:tr w14:paraId="7831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86C364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导滑器、油杯内油芯分解处理</w:t>
            </w:r>
          </w:p>
        </w:tc>
      </w:tr>
      <w:tr w14:paraId="4491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48DC7300">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紧急停止器机能之试验及活动部轴承上油</w:t>
            </w:r>
          </w:p>
        </w:tc>
      </w:tr>
      <w:tr w14:paraId="608A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8110478">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升降路内安全性能之检查（动作杆滚动轴注油）</w:t>
            </w:r>
          </w:p>
        </w:tc>
      </w:tr>
      <w:tr w14:paraId="0913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22368FC">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铁轨支架安全性能之检查</w:t>
            </w:r>
          </w:p>
        </w:tc>
      </w:tr>
      <w:tr w14:paraId="3362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766F7B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门装配及乘厢各部使用状况及机能之检查。</w:t>
            </w:r>
          </w:p>
        </w:tc>
      </w:tr>
      <w:tr w14:paraId="0D25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460AB74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钢索调整磨损及生锈检查（钢索头部螺丝松驰）</w:t>
            </w:r>
          </w:p>
        </w:tc>
      </w:tr>
      <w:tr w14:paraId="0860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567F0EB">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导滑器磨损情形与铁轨间隙之检点</w:t>
            </w:r>
          </w:p>
        </w:tc>
      </w:tr>
      <w:tr w14:paraId="18FB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1DB636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配重清理及间隙调整</w:t>
            </w:r>
          </w:p>
        </w:tc>
      </w:tr>
      <w:tr w14:paraId="20C7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DF7EDA2">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超重检出器性能测验</w:t>
            </w:r>
          </w:p>
        </w:tc>
      </w:tr>
      <w:tr w14:paraId="511A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DA48D2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紧急刹车器及各种自动控制开关作用性能组织校对</w:t>
            </w:r>
          </w:p>
        </w:tc>
      </w:tr>
      <w:tr w14:paraId="09DD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4CD0AA4">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限制开关之检查、接线盒之检查</w:t>
            </w:r>
          </w:p>
        </w:tc>
      </w:tr>
      <w:tr w14:paraId="5EEC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4F92E169">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各接线端子是否良好、各接线是否脱落</w:t>
            </w:r>
          </w:p>
        </w:tc>
      </w:tr>
      <w:tr w14:paraId="0DCD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67CACFF">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门驱动马达减速机链条等附检查及轴承部上油</w:t>
            </w:r>
          </w:p>
        </w:tc>
      </w:tr>
      <w:tr w14:paraId="02A9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DF83236">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自动拉门连锁动作及安全开关性能测验</w:t>
            </w:r>
          </w:p>
        </w:tc>
      </w:tr>
      <w:tr w14:paraId="4DEC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0BA5C2F">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门轨清洁处理、钢索调整、活动轴承上油</w:t>
            </w:r>
          </w:p>
        </w:tc>
      </w:tr>
      <w:tr w14:paraId="2FB0C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022FF1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连锁装置性能检点</w:t>
            </w:r>
          </w:p>
        </w:tc>
      </w:tr>
      <w:tr w14:paraId="4320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FCB9CB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门脚导滑槽（车厢、楼站）清洁</w:t>
            </w:r>
          </w:p>
        </w:tc>
      </w:tr>
      <w:tr w14:paraId="11F4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3E358A48">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门面之平面度检查及校正</w:t>
            </w:r>
          </w:p>
        </w:tc>
      </w:tr>
      <w:tr w14:paraId="5514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76F5513">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门面与框之间隙是否正常</w:t>
            </w:r>
          </w:p>
        </w:tc>
      </w:tr>
      <w:tr w14:paraId="4238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D8825F4">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调整补动链条与齿轮补助钢索滑轮注油</w:t>
            </w:r>
          </w:p>
        </w:tc>
      </w:tr>
      <w:tr w14:paraId="4C0E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F1C25D2">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缓冲器油量检查</w:t>
            </w:r>
          </w:p>
        </w:tc>
      </w:tr>
      <w:tr w14:paraId="2A015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3B24981">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厢底各部安全设备之检查</w:t>
            </w:r>
          </w:p>
        </w:tc>
      </w:tr>
      <w:tr w14:paraId="79B1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3E9D031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调速机配重锤高度调整</w:t>
            </w:r>
          </w:p>
        </w:tc>
      </w:tr>
      <w:tr w14:paraId="259E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1E4B3B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坑底清理（不包括漏水处理）</w:t>
            </w:r>
          </w:p>
        </w:tc>
      </w:tr>
      <w:tr w14:paraId="09F7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A5BF5D2">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控制电缆线有否扭伤破损检查</w:t>
            </w:r>
          </w:p>
        </w:tc>
      </w:tr>
      <w:tr w14:paraId="2C49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B6366E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控制电缆张力长度是否均匀</w:t>
            </w:r>
          </w:p>
        </w:tc>
      </w:tr>
      <w:tr w14:paraId="6E86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C391BED">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接线盒位置之异常检查</w:t>
            </w:r>
          </w:p>
        </w:tc>
      </w:tr>
      <w:tr w14:paraId="14A6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0A442FA">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乘厢乘场呼叫系统机能之校对</w:t>
            </w:r>
          </w:p>
        </w:tc>
      </w:tr>
      <w:tr w14:paraId="0099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555E4AE">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厢内日光灯、电扇叶检查</w:t>
            </w:r>
          </w:p>
        </w:tc>
      </w:tr>
      <w:tr w14:paraId="09346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5F3C19FF">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厢内叫车按钮是否正常</w:t>
            </w:r>
          </w:p>
        </w:tc>
      </w:tr>
      <w:tr w14:paraId="6640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7F76FF3">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厢内指示灯电灯检查</w:t>
            </w:r>
          </w:p>
        </w:tc>
      </w:tr>
      <w:tr w14:paraId="6C36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7432C56">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减速着床准确程度之校对</w:t>
            </w:r>
          </w:p>
        </w:tc>
      </w:tr>
      <w:tr w14:paraId="152A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779D72FC">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楼站按钮有无损伤</w:t>
            </w:r>
          </w:p>
        </w:tc>
      </w:tr>
      <w:tr w14:paraId="725D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072D831">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指示灯泡检查</w:t>
            </w:r>
          </w:p>
        </w:tc>
      </w:tr>
      <w:tr w14:paraId="1029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105A1127">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马达及控制盘等之绝缘测试</w:t>
            </w:r>
          </w:p>
        </w:tc>
      </w:tr>
      <w:tr w14:paraId="7DE4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2FDCD48A">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各部电压测试</w:t>
            </w:r>
          </w:p>
        </w:tc>
      </w:tr>
      <w:tr w14:paraId="5F96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631BE949">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电梯运转状况之检查</w:t>
            </w:r>
          </w:p>
        </w:tc>
      </w:tr>
      <w:tr w14:paraId="41D8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3BE855F6">
            <w:pPr>
              <w:pStyle w:val="20"/>
              <w:spacing w:after="0"/>
              <w:ind w:left="72" w:leftChars="34" w:hanging="1"/>
              <w:rPr>
                <w:rFonts w:ascii="Arial" w:hAnsi="Arial" w:cs="Arial"/>
                <w:color w:val="000000" w:themeColor="text1"/>
                <w:sz w:val="22"/>
                <w:szCs w:val="22"/>
              </w:rPr>
            </w:pPr>
            <w:r>
              <w:rPr>
                <w:rFonts w:hint="eastAsia" w:ascii="Arial" w:hAnsi="Arial" w:cs="Arial"/>
                <w:color w:val="000000" w:themeColor="text1"/>
                <w:sz w:val="22"/>
                <w:szCs w:val="22"/>
              </w:rPr>
              <w:t>印刷电路板性能之检查及校对</w:t>
            </w:r>
          </w:p>
        </w:tc>
      </w:tr>
      <w:tr w14:paraId="1AAF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422" w:type="dxa"/>
            <w:gridSpan w:val="3"/>
            <w:tcBorders>
              <w:left w:val="single" w:color="auto" w:sz="12" w:space="0"/>
              <w:right w:val="single" w:color="auto" w:sz="12" w:space="0"/>
            </w:tcBorders>
            <w:vAlign w:val="center"/>
          </w:tcPr>
          <w:p w14:paraId="06C93052">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以下回路之性能检查与测试</w:t>
            </w:r>
          </w:p>
        </w:tc>
      </w:tr>
      <w:tr w14:paraId="05A8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55" w:type="dxa"/>
            <w:tcBorders>
              <w:left w:val="single" w:color="auto" w:sz="12" w:space="0"/>
            </w:tcBorders>
            <w:vAlign w:val="center"/>
          </w:tcPr>
          <w:p w14:paraId="657889C9">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电源回路</w:t>
            </w:r>
          </w:p>
        </w:tc>
        <w:tc>
          <w:tcPr>
            <w:tcW w:w="2700" w:type="dxa"/>
            <w:vAlign w:val="center"/>
          </w:tcPr>
          <w:p w14:paraId="4571658A">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运转操作回路</w:t>
            </w:r>
          </w:p>
        </w:tc>
        <w:tc>
          <w:tcPr>
            <w:tcW w:w="2467" w:type="dxa"/>
            <w:tcBorders>
              <w:right w:val="single" w:color="auto" w:sz="12" w:space="0"/>
            </w:tcBorders>
            <w:vAlign w:val="center"/>
          </w:tcPr>
          <w:p w14:paraId="16242A69">
            <w:pPr>
              <w:pStyle w:val="20"/>
              <w:spacing w:after="0"/>
              <w:rPr>
                <w:rFonts w:ascii="Arial" w:cs="Arial"/>
                <w:color w:val="000000" w:themeColor="text1"/>
                <w:sz w:val="22"/>
                <w:szCs w:val="22"/>
              </w:rPr>
            </w:pPr>
            <w:r>
              <w:rPr>
                <w:rFonts w:hint="eastAsia" w:ascii="Arial" w:hAnsi="Arial" w:cs="Arial"/>
                <w:color w:val="000000" w:themeColor="text1"/>
                <w:sz w:val="22"/>
                <w:szCs w:val="22"/>
              </w:rPr>
              <w:t>“呼叫登录”回路</w:t>
            </w:r>
          </w:p>
        </w:tc>
      </w:tr>
      <w:tr w14:paraId="6FC2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55" w:type="dxa"/>
            <w:tcBorders>
              <w:left w:val="single" w:color="auto" w:sz="12" w:space="0"/>
            </w:tcBorders>
            <w:vAlign w:val="center"/>
          </w:tcPr>
          <w:p w14:paraId="188B8DF5">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方向选择回路</w:t>
            </w:r>
          </w:p>
        </w:tc>
        <w:tc>
          <w:tcPr>
            <w:tcW w:w="2700" w:type="dxa"/>
            <w:vAlign w:val="center"/>
          </w:tcPr>
          <w:p w14:paraId="2CE1CD76">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减速指令回路</w:t>
            </w:r>
          </w:p>
        </w:tc>
        <w:tc>
          <w:tcPr>
            <w:tcW w:w="2467" w:type="dxa"/>
            <w:tcBorders>
              <w:right w:val="single" w:color="auto" w:sz="12" w:space="0"/>
            </w:tcBorders>
            <w:vAlign w:val="center"/>
          </w:tcPr>
          <w:p w14:paraId="0C9ABFEB">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检出回路</w:t>
            </w:r>
          </w:p>
        </w:tc>
      </w:tr>
      <w:tr w14:paraId="6579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55" w:type="dxa"/>
            <w:tcBorders>
              <w:left w:val="single" w:color="auto" w:sz="12" w:space="0"/>
            </w:tcBorders>
            <w:vAlign w:val="center"/>
          </w:tcPr>
          <w:p w14:paraId="11556B66">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速度基本回路</w:t>
            </w:r>
          </w:p>
        </w:tc>
        <w:tc>
          <w:tcPr>
            <w:tcW w:w="2700" w:type="dxa"/>
            <w:vAlign w:val="center"/>
          </w:tcPr>
          <w:p w14:paraId="66384133">
            <w:pPr>
              <w:pStyle w:val="20"/>
              <w:spacing w:after="0"/>
              <w:rPr>
                <w:rFonts w:ascii="Arial" w:cs="Arial"/>
                <w:color w:val="000000" w:themeColor="text1"/>
                <w:sz w:val="22"/>
                <w:szCs w:val="22"/>
              </w:rPr>
            </w:pPr>
            <w:r>
              <w:rPr>
                <w:rFonts w:hint="eastAsia" w:ascii="Arial" w:hAnsi="Arial" w:cs="Arial"/>
                <w:color w:val="000000" w:themeColor="text1"/>
                <w:sz w:val="22"/>
                <w:szCs w:val="22"/>
              </w:rPr>
              <w:t>门主回路</w:t>
            </w:r>
          </w:p>
        </w:tc>
        <w:tc>
          <w:tcPr>
            <w:tcW w:w="2467" w:type="dxa"/>
            <w:tcBorders>
              <w:right w:val="single" w:color="auto" w:sz="12" w:space="0"/>
            </w:tcBorders>
            <w:vAlign w:val="center"/>
          </w:tcPr>
          <w:p w14:paraId="7DE32D64">
            <w:pPr>
              <w:pStyle w:val="20"/>
              <w:spacing w:after="0"/>
              <w:rPr>
                <w:rFonts w:ascii="Arial" w:cs="Arial"/>
                <w:color w:val="000000" w:themeColor="text1"/>
                <w:sz w:val="22"/>
                <w:szCs w:val="22"/>
              </w:rPr>
            </w:pPr>
            <w:r>
              <w:rPr>
                <w:rFonts w:hint="eastAsia" w:ascii="Arial" w:hAnsi="Arial" w:cs="Arial"/>
                <w:color w:val="000000" w:themeColor="text1"/>
                <w:sz w:val="22"/>
                <w:szCs w:val="22"/>
              </w:rPr>
              <w:t>门操作回路</w:t>
            </w:r>
          </w:p>
        </w:tc>
      </w:tr>
      <w:tr w14:paraId="4A7C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55" w:type="dxa"/>
            <w:tcBorders>
              <w:left w:val="single" w:color="auto" w:sz="12" w:space="0"/>
            </w:tcBorders>
            <w:vAlign w:val="center"/>
          </w:tcPr>
          <w:p w14:paraId="4F12BDA0">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表示灯回路</w:t>
            </w:r>
          </w:p>
        </w:tc>
        <w:tc>
          <w:tcPr>
            <w:tcW w:w="2700" w:type="dxa"/>
            <w:vAlign w:val="center"/>
          </w:tcPr>
          <w:p w14:paraId="5CCCADCD">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警报回路</w:t>
            </w:r>
          </w:p>
        </w:tc>
        <w:tc>
          <w:tcPr>
            <w:tcW w:w="2467" w:type="dxa"/>
            <w:tcBorders>
              <w:right w:val="single" w:color="auto" w:sz="12" w:space="0"/>
            </w:tcBorders>
            <w:vAlign w:val="center"/>
          </w:tcPr>
          <w:p w14:paraId="54EA7DC7">
            <w:pPr>
              <w:pStyle w:val="20"/>
              <w:spacing w:after="0"/>
              <w:rPr>
                <w:rFonts w:ascii="Arial" w:cs="Arial"/>
                <w:color w:val="000000" w:themeColor="text1"/>
                <w:sz w:val="22"/>
                <w:szCs w:val="22"/>
              </w:rPr>
            </w:pPr>
            <w:r>
              <w:rPr>
                <w:rFonts w:hint="eastAsia" w:ascii="Arial" w:hAnsi="Arial" w:cs="Arial"/>
                <w:color w:val="000000" w:themeColor="text1"/>
                <w:sz w:val="22"/>
                <w:szCs w:val="22"/>
              </w:rPr>
              <w:t>附属回路</w:t>
            </w:r>
          </w:p>
        </w:tc>
      </w:tr>
      <w:tr w14:paraId="7F99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3255" w:type="dxa"/>
            <w:tcBorders>
              <w:left w:val="single" w:color="auto" w:sz="12" w:space="0"/>
              <w:bottom w:val="single" w:color="auto" w:sz="12" w:space="0"/>
            </w:tcBorders>
            <w:vAlign w:val="center"/>
          </w:tcPr>
          <w:p w14:paraId="543ED098">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对讲回路</w:t>
            </w:r>
          </w:p>
        </w:tc>
        <w:tc>
          <w:tcPr>
            <w:tcW w:w="2700" w:type="dxa"/>
            <w:tcBorders>
              <w:bottom w:val="single" w:color="auto" w:sz="12" w:space="0"/>
            </w:tcBorders>
            <w:vAlign w:val="center"/>
          </w:tcPr>
          <w:p w14:paraId="16E0BC01">
            <w:pPr>
              <w:pStyle w:val="20"/>
              <w:spacing w:after="0"/>
              <w:rPr>
                <w:rFonts w:ascii="Arial" w:hAnsi="Arial" w:cs="Arial"/>
                <w:color w:val="000000" w:themeColor="text1"/>
                <w:sz w:val="22"/>
                <w:szCs w:val="22"/>
              </w:rPr>
            </w:pPr>
            <w:r>
              <w:rPr>
                <w:rFonts w:hint="eastAsia" w:ascii="Arial" w:hAnsi="Arial" w:cs="Arial"/>
                <w:color w:val="000000" w:themeColor="text1"/>
                <w:sz w:val="22"/>
                <w:szCs w:val="22"/>
              </w:rPr>
              <w:t>紧急照明回路</w:t>
            </w:r>
          </w:p>
        </w:tc>
        <w:tc>
          <w:tcPr>
            <w:tcW w:w="2467" w:type="dxa"/>
            <w:tcBorders>
              <w:bottom w:val="single" w:color="auto" w:sz="12" w:space="0"/>
              <w:right w:val="single" w:color="auto" w:sz="12" w:space="0"/>
            </w:tcBorders>
            <w:vAlign w:val="center"/>
          </w:tcPr>
          <w:p w14:paraId="6739E249">
            <w:pPr>
              <w:pStyle w:val="20"/>
              <w:spacing w:after="0"/>
              <w:rPr>
                <w:rFonts w:ascii="Arial" w:hAnsi="Arial" w:cs="Arial"/>
                <w:color w:val="000000" w:themeColor="text1"/>
                <w:sz w:val="22"/>
                <w:szCs w:val="22"/>
              </w:rPr>
            </w:pPr>
          </w:p>
        </w:tc>
      </w:tr>
    </w:tbl>
    <w:p w14:paraId="3663CBFE">
      <w:pPr>
        <w:snapToGrid w:val="0"/>
        <w:spacing w:line="440" w:lineRule="exact"/>
        <w:ind w:firstLine="480" w:firstLineChars="200"/>
        <w:rPr>
          <w:rFonts w:ascii="宋体" w:hAnsi="宋体" w:cs="宋体"/>
          <w:color w:val="000000" w:themeColor="text1"/>
          <w:sz w:val="24"/>
          <w:szCs w:val="24"/>
        </w:rPr>
      </w:pPr>
    </w:p>
    <w:p w14:paraId="73B3D504">
      <w:pPr>
        <w:snapToGrid w:val="0"/>
        <w:spacing w:line="440" w:lineRule="exact"/>
        <w:ind w:firstLine="590" w:firstLineChars="200"/>
        <w:rPr>
          <w:rFonts w:ascii="黑体" w:hAnsi="Arial" w:eastAsia="黑体" w:cs="Arial"/>
          <w:color w:val="000000" w:themeColor="text1"/>
          <w:spacing w:val="16"/>
          <w:sz w:val="30"/>
          <w:szCs w:val="30"/>
        </w:rPr>
      </w:pPr>
      <w:r>
        <w:rPr>
          <w:rFonts w:hint="eastAsia" w:ascii="宋体" w:hAnsi="宋体" w:cs="宋体"/>
          <w:b/>
          <w:spacing w:val="7"/>
          <w:kern w:val="0"/>
          <w:sz w:val="28"/>
          <w:szCs w:val="28"/>
          <w:lang w:val="zh-CN" w:eastAsia="zh-CN"/>
        </w:rPr>
        <w:t xml:space="preserve">四、电梯定期保养主要项目   </w:t>
      </w:r>
      <w:r>
        <w:rPr>
          <w:rFonts w:ascii="宋体" w:hAnsi="宋体" w:cs="宋体"/>
          <w:color w:val="000000" w:themeColor="text1"/>
          <w:sz w:val="24"/>
          <w:szCs w:val="24"/>
        </w:rPr>
        <w:t xml:space="preserve">                   </w:t>
      </w:r>
      <w:r>
        <w:rPr>
          <w:rFonts w:ascii="黑体" w:hAnsi="Arial" w:eastAsia="黑体" w:cs="Arial"/>
          <w:color w:val="000000" w:themeColor="text1"/>
          <w:spacing w:val="16"/>
          <w:sz w:val="30"/>
          <w:szCs w:val="30"/>
        </w:rPr>
        <w:t xml:space="preserve">           </w:t>
      </w:r>
    </w:p>
    <w:tbl>
      <w:tblPr>
        <w:tblStyle w:val="53"/>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042"/>
        <w:gridCol w:w="769"/>
      </w:tblGrid>
      <w:tr w14:paraId="1DD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645" w:type="dxa"/>
            <w:tcBorders>
              <w:top w:val="single" w:color="auto" w:sz="12" w:space="0"/>
              <w:left w:val="single" w:color="auto" w:sz="12" w:space="0"/>
            </w:tcBorders>
            <w:vAlign w:val="center"/>
          </w:tcPr>
          <w:p w14:paraId="4D36AA35">
            <w:pPr>
              <w:pStyle w:val="20"/>
              <w:ind w:left="-31" w:leftChars="-15"/>
              <w:rPr>
                <w:rFonts w:ascii="Arial" w:hAnsi="Arial" w:cs="Arial"/>
                <w:color w:val="000000" w:themeColor="text1"/>
                <w:sz w:val="22"/>
                <w:szCs w:val="22"/>
              </w:rPr>
            </w:pPr>
            <w:r>
              <w:rPr>
                <w:rFonts w:hint="eastAsia" w:ascii="Arial" w:hAnsi="宋体" w:cs="Arial"/>
                <w:color w:val="000000" w:themeColor="text1"/>
                <w:sz w:val="22"/>
                <w:szCs w:val="22"/>
              </w:rPr>
              <w:t>序号</w:t>
            </w:r>
          </w:p>
        </w:tc>
        <w:tc>
          <w:tcPr>
            <w:tcW w:w="7042" w:type="dxa"/>
            <w:tcBorders>
              <w:top w:val="single" w:color="auto" w:sz="12" w:space="0"/>
            </w:tcBorders>
            <w:vAlign w:val="center"/>
          </w:tcPr>
          <w:p w14:paraId="6EA6E001">
            <w:pPr>
              <w:pStyle w:val="20"/>
              <w:ind w:left="0" w:leftChars="0"/>
              <w:jc w:val="center"/>
              <w:rPr>
                <w:rFonts w:ascii="Arial" w:hAnsi="Arial" w:cs="Arial"/>
                <w:color w:val="000000" w:themeColor="text1"/>
                <w:sz w:val="22"/>
                <w:szCs w:val="22"/>
              </w:rPr>
            </w:pPr>
            <w:r>
              <w:rPr>
                <w:rFonts w:hint="eastAsia" w:ascii="Arial" w:hAnsi="宋体" w:cs="Arial"/>
                <w:color w:val="000000" w:themeColor="text1"/>
                <w:sz w:val="22"/>
                <w:szCs w:val="22"/>
              </w:rPr>
              <w:t>保</w:t>
            </w:r>
            <w:r>
              <w:rPr>
                <w:rFonts w:ascii="Arial" w:hAnsi="Arial" w:cs="Arial"/>
                <w:color w:val="000000" w:themeColor="text1"/>
                <w:sz w:val="22"/>
                <w:szCs w:val="22"/>
              </w:rPr>
              <w:t xml:space="preserve">   </w:t>
            </w:r>
            <w:r>
              <w:rPr>
                <w:rFonts w:hint="eastAsia" w:ascii="Arial" w:hAnsi="宋体" w:cs="Arial"/>
                <w:color w:val="000000" w:themeColor="text1"/>
                <w:sz w:val="22"/>
                <w:szCs w:val="22"/>
              </w:rPr>
              <w:t>养</w:t>
            </w:r>
            <w:r>
              <w:rPr>
                <w:rFonts w:ascii="Arial" w:hAnsi="Arial" w:cs="Arial"/>
                <w:color w:val="000000" w:themeColor="text1"/>
                <w:sz w:val="22"/>
                <w:szCs w:val="22"/>
              </w:rPr>
              <w:t xml:space="preserve">   </w:t>
            </w:r>
            <w:r>
              <w:rPr>
                <w:rFonts w:hint="eastAsia" w:ascii="Arial" w:hAnsi="宋体" w:cs="Arial"/>
                <w:color w:val="000000" w:themeColor="text1"/>
                <w:sz w:val="22"/>
                <w:szCs w:val="22"/>
              </w:rPr>
              <w:t>内</w:t>
            </w:r>
            <w:r>
              <w:rPr>
                <w:rFonts w:ascii="Arial" w:hAnsi="Arial" w:cs="Arial"/>
                <w:color w:val="000000" w:themeColor="text1"/>
                <w:sz w:val="22"/>
                <w:szCs w:val="22"/>
              </w:rPr>
              <w:t xml:space="preserve">   </w:t>
            </w:r>
            <w:r>
              <w:rPr>
                <w:rFonts w:hint="eastAsia" w:ascii="Arial" w:hAnsi="宋体" w:cs="Arial"/>
                <w:color w:val="000000" w:themeColor="text1"/>
                <w:sz w:val="22"/>
                <w:szCs w:val="22"/>
              </w:rPr>
              <w:t>容</w:t>
            </w:r>
          </w:p>
        </w:tc>
        <w:tc>
          <w:tcPr>
            <w:tcW w:w="769" w:type="dxa"/>
            <w:tcBorders>
              <w:top w:val="single" w:color="auto" w:sz="12" w:space="0"/>
              <w:right w:val="single" w:color="auto" w:sz="12" w:space="0"/>
            </w:tcBorders>
            <w:vAlign w:val="center"/>
          </w:tcPr>
          <w:p w14:paraId="7014186A">
            <w:pPr>
              <w:pStyle w:val="20"/>
              <w:ind w:left="0" w:leftChars="0"/>
              <w:jc w:val="center"/>
              <w:rPr>
                <w:rFonts w:ascii="Arial" w:hAnsi="Arial" w:cs="Arial"/>
                <w:color w:val="000000" w:themeColor="text1"/>
                <w:sz w:val="22"/>
                <w:szCs w:val="22"/>
              </w:rPr>
            </w:pPr>
            <w:r>
              <w:rPr>
                <w:rFonts w:hint="eastAsia" w:ascii="Arial" w:hAnsi="宋体" w:cs="Arial"/>
                <w:color w:val="000000" w:themeColor="text1"/>
                <w:sz w:val="22"/>
                <w:szCs w:val="22"/>
              </w:rPr>
              <w:t>保养周期</w:t>
            </w:r>
          </w:p>
        </w:tc>
      </w:tr>
      <w:tr w14:paraId="75BD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30433465">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vAlign w:val="center"/>
          </w:tcPr>
          <w:p w14:paraId="62307C96">
            <w:pPr>
              <w:pStyle w:val="20"/>
              <w:ind w:left="71" w:leftChars="34" w:firstLine="1"/>
              <w:rPr>
                <w:rFonts w:ascii="Arial" w:hAnsi="Arial" w:cs="Arial"/>
                <w:color w:val="000000" w:themeColor="text1"/>
                <w:sz w:val="22"/>
                <w:szCs w:val="22"/>
              </w:rPr>
            </w:pPr>
            <w:r>
              <w:rPr>
                <w:rFonts w:hint="eastAsia" w:ascii="Arial" w:hAnsi="宋体" w:cs="Arial"/>
                <w:color w:val="000000" w:themeColor="text1"/>
                <w:sz w:val="22"/>
                <w:szCs w:val="22"/>
              </w:rPr>
              <w:t>巡查机组设备运转情况（主机之震动、异声、异温、漏油）</w:t>
            </w:r>
          </w:p>
        </w:tc>
        <w:tc>
          <w:tcPr>
            <w:tcW w:w="769" w:type="dxa"/>
            <w:vMerge w:val="restart"/>
            <w:tcBorders>
              <w:right w:val="single" w:color="auto" w:sz="12" w:space="0"/>
            </w:tcBorders>
            <w:vAlign w:val="center"/>
          </w:tcPr>
          <w:p w14:paraId="027102AB">
            <w:pPr>
              <w:pStyle w:val="20"/>
              <w:ind w:left="71" w:leftChars="34" w:firstLine="1"/>
              <w:rPr>
                <w:rFonts w:ascii="Arial" w:hAnsi="宋体" w:cs="Arial"/>
                <w:color w:val="000000" w:themeColor="text1"/>
                <w:sz w:val="22"/>
                <w:szCs w:val="22"/>
              </w:rPr>
            </w:pPr>
            <w:r>
              <w:rPr>
                <w:rFonts w:ascii="Arial" w:hAnsi="宋体" w:cs="Arial"/>
                <w:color w:val="000000" w:themeColor="text1"/>
                <w:sz w:val="22"/>
                <w:szCs w:val="22"/>
              </w:rPr>
              <w:t>2</w:t>
            </w:r>
            <w:r>
              <w:rPr>
                <w:rFonts w:hint="eastAsia" w:ascii="Arial" w:hAnsi="宋体" w:cs="Arial"/>
                <w:color w:val="000000" w:themeColor="text1"/>
                <w:sz w:val="22"/>
                <w:szCs w:val="22"/>
              </w:rPr>
              <w:t>周</w:t>
            </w:r>
          </w:p>
        </w:tc>
      </w:tr>
      <w:tr w14:paraId="723F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6F148326">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15272851">
            <w:pPr>
              <w:ind w:left="71" w:leftChars="34" w:firstLine="1"/>
              <w:rPr>
                <w:rFonts w:ascii="Arial" w:hAnsi="Arial" w:cs="Arial"/>
                <w:color w:val="000000" w:themeColor="text1"/>
                <w:sz w:val="22"/>
              </w:rPr>
            </w:pPr>
            <w:r>
              <w:rPr>
                <w:rFonts w:hint="eastAsia" w:ascii="Arial" w:hAnsi="宋体" w:cs="Arial"/>
                <w:color w:val="000000" w:themeColor="text1"/>
                <w:sz w:val="22"/>
              </w:rPr>
              <w:t>控制屏内部除尘及主要接触器、继电器动作，接线检查及机房环境卫生及辅助设备检查（如排气、空调）</w:t>
            </w:r>
          </w:p>
        </w:tc>
        <w:tc>
          <w:tcPr>
            <w:tcW w:w="769" w:type="dxa"/>
            <w:vMerge w:val="continue"/>
            <w:tcBorders>
              <w:right w:val="single" w:color="auto" w:sz="12" w:space="0"/>
            </w:tcBorders>
            <w:vAlign w:val="center"/>
          </w:tcPr>
          <w:p w14:paraId="1BF20623">
            <w:pPr>
              <w:rPr>
                <w:rFonts w:ascii="Arial" w:hAnsi="Arial" w:cs="Arial"/>
                <w:color w:val="000000" w:themeColor="text1"/>
                <w:sz w:val="22"/>
              </w:rPr>
            </w:pPr>
          </w:p>
        </w:tc>
      </w:tr>
      <w:tr w14:paraId="557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5B8CC9BF">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35FBE50C">
            <w:pPr>
              <w:ind w:left="71" w:leftChars="34" w:firstLine="1"/>
              <w:rPr>
                <w:rFonts w:ascii="Arial" w:hAnsi="Arial" w:cs="Arial"/>
                <w:color w:val="000000" w:themeColor="text1"/>
                <w:sz w:val="22"/>
              </w:rPr>
            </w:pPr>
            <w:r>
              <w:rPr>
                <w:rFonts w:hint="eastAsia" w:ascii="Arial" w:hAnsi="宋体" w:cs="Arial"/>
                <w:color w:val="000000" w:themeColor="text1"/>
                <w:sz w:val="22"/>
              </w:rPr>
              <w:t>抱闸检查（行程及动作灵活性）</w:t>
            </w:r>
          </w:p>
        </w:tc>
        <w:tc>
          <w:tcPr>
            <w:tcW w:w="769" w:type="dxa"/>
            <w:vMerge w:val="continue"/>
            <w:tcBorders>
              <w:right w:val="single" w:color="auto" w:sz="12" w:space="0"/>
            </w:tcBorders>
            <w:vAlign w:val="center"/>
          </w:tcPr>
          <w:p w14:paraId="32F7D8BC">
            <w:pPr>
              <w:rPr>
                <w:rFonts w:ascii="Arial" w:hAnsi="Arial" w:cs="Arial"/>
                <w:color w:val="000000" w:themeColor="text1"/>
                <w:sz w:val="22"/>
              </w:rPr>
            </w:pPr>
          </w:p>
        </w:tc>
      </w:tr>
      <w:tr w14:paraId="3150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1FEBB33A">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vAlign w:val="center"/>
          </w:tcPr>
          <w:p w14:paraId="6B4616E5">
            <w:pPr>
              <w:ind w:left="71" w:leftChars="34" w:firstLine="1"/>
              <w:rPr>
                <w:rFonts w:ascii="Arial" w:hAnsi="Arial" w:cs="Arial"/>
                <w:color w:val="000000" w:themeColor="text1"/>
                <w:sz w:val="22"/>
              </w:rPr>
            </w:pPr>
            <w:r>
              <w:rPr>
                <w:rFonts w:hint="eastAsia" w:ascii="Arial" w:hAnsi="宋体" w:cs="Arial"/>
                <w:color w:val="000000" w:themeColor="text1"/>
                <w:sz w:val="22"/>
              </w:rPr>
              <w:t>曳引机齿箱油量检查，加油</w:t>
            </w:r>
          </w:p>
        </w:tc>
        <w:tc>
          <w:tcPr>
            <w:tcW w:w="769" w:type="dxa"/>
            <w:vMerge w:val="continue"/>
            <w:tcBorders>
              <w:right w:val="single" w:color="auto" w:sz="12" w:space="0"/>
            </w:tcBorders>
            <w:vAlign w:val="center"/>
          </w:tcPr>
          <w:p w14:paraId="047FD8E4">
            <w:pPr>
              <w:rPr>
                <w:rFonts w:ascii="Arial" w:hAnsi="Arial" w:cs="Arial"/>
                <w:color w:val="000000" w:themeColor="text1"/>
                <w:sz w:val="22"/>
              </w:rPr>
            </w:pPr>
          </w:p>
        </w:tc>
      </w:tr>
      <w:tr w14:paraId="52D5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016F95CA">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5</w:t>
            </w:r>
          </w:p>
        </w:tc>
        <w:tc>
          <w:tcPr>
            <w:tcW w:w="7042" w:type="dxa"/>
            <w:vAlign w:val="center"/>
          </w:tcPr>
          <w:p w14:paraId="003D8187">
            <w:pPr>
              <w:ind w:left="71" w:leftChars="34" w:firstLine="1"/>
              <w:rPr>
                <w:rFonts w:ascii="Arial" w:hAnsi="Arial" w:cs="Arial"/>
                <w:color w:val="000000" w:themeColor="text1"/>
                <w:sz w:val="22"/>
              </w:rPr>
            </w:pPr>
            <w:r>
              <w:rPr>
                <w:rFonts w:hint="eastAsia" w:ascii="Arial" w:hAnsi="宋体" w:cs="Arial"/>
                <w:color w:val="000000" w:themeColor="text1"/>
                <w:sz w:val="22"/>
              </w:rPr>
              <w:t>限速器活动部件润滑</w:t>
            </w:r>
          </w:p>
        </w:tc>
        <w:tc>
          <w:tcPr>
            <w:tcW w:w="769" w:type="dxa"/>
            <w:vMerge w:val="continue"/>
            <w:tcBorders>
              <w:right w:val="single" w:color="auto" w:sz="12" w:space="0"/>
            </w:tcBorders>
            <w:vAlign w:val="center"/>
          </w:tcPr>
          <w:p w14:paraId="4D0012CA">
            <w:pPr>
              <w:rPr>
                <w:rFonts w:ascii="Arial" w:hAnsi="Arial" w:cs="Arial"/>
                <w:color w:val="000000" w:themeColor="text1"/>
                <w:sz w:val="22"/>
              </w:rPr>
            </w:pPr>
          </w:p>
        </w:tc>
      </w:tr>
      <w:tr w14:paraId="61D5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4DE59B8D">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6</w:t>
            </w:r>
          </w:p>
        </w:tc>
        <w:tc>
          <w:tcPr>
            <w:tcW w:w="7042" w:type="dxa"/>
            <w:tcBorders>
              <w:bottom w:val="single" w:color="auto" w:sz="12" w:space="0"/>
            </w:tcBorders>
            <w:vAlign w:val="center"/>
          </w:tcPr>
          <w:p w14:paraId="6DF3F38E">
            <w:pPr>
              <w:ind w:left="71" w:leftChars="34" w:firstLine="1"/>
              <w:rPr>
                <w:rFonts w:ascii="Arial" w:hAnsi="Arial" w:cs="Arial"/>
                <w:color w:val="000000" w:themeColor="text1"/>
                <w:sz w:val="22"/>
              </w:rPr>
            </w:pPr>
            <w:r>
              <w:rPr>
                <w:rFonts w:hint="eastAsia" w:ascii="Arial" w:hAnsi="宋体" w:cs="Arial"/>
                <w:color w:val="000000" w:themeColor="text1"/>
                <w:sz w:val="22"/>
              </w:rPr>
              <w:t>测速发电机连接及限速器光电开关检查</w:t>
            </w:r>
          </w:p>
        </w:tc>
        <w:tc>
          <w:tcPr>
            <w:tcW w:w="769" w:type="dxa"/>
            <w:vMerge w:val="continue"/>
            <w:tcBorders>
              <w:bottom w:val="single" w:color="auto" w:sz="12" w:space="0"/>
              <w:right w:val="single" w:color="auto" w:sz="12" w:space="0"/>
            </w:tcBorders>
            <w:vAlign w:val="center"/>
          </w:tcPr>
          <w:p w14:paraId="7C0D1D21">
            <w:pPr>
              <w:rPr>
                <w:rFonts w:ascii="Arial" w:hAnsi="Arial" w:cs="Arial"/>
                <w:color w:val="000000" w:themeColor="text1"/>
                <w:sz w:val="22"/>
              </w:rPr>
            </w:pPr>
          </w:p>
        </w:tc>
      </w:tr>
      <w:tr w14:paraId="1BCF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578FA3FB">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3883EABB">
            <w:pPr>
              <w:ind w:left="71" w:leftChars="34" w:firstLine="1"/>
              <w:rPr>
                <w:rFonts w:ascii="Arial" w:hAnsi="Arial" w:cs="Arial"/>
                <w:color w:val="000000" w:themeColor="text1"/>
                <w:sz w:val="22"/>
              </w:rPr>
            </w:pPr>
            <w:r>
              <w:rPr>
                <w:rFonts w:hint="eastAsia" w:ascii="Arial" w:hAnsi="宋体" w:cs="Arial"/>
                <w:color w:val="000000" w:themeColor="text1"/>
                <w:sz w:val="22"/>
              </w:rPr>
              <w:t>电动机、曳引机、曳引轮、导向轮的清洁、加油</w:t>
            </w:r>
          </w:p>
        </w:tc>
        <w:tc>
          <w:tcPr>
            <w:tcW w:w="769" w:type="dxa"/>
            <w:vMerge w:val="restart"/>
            <w:tcBorders>
              <w:top w:val="single" w:color="auto" w:sz="12" w:space="0"/>
              <w:right w:val="single" w:color="auto" w:sz="12" w:space="0"/>
            </w:tcBorders>
            <w:vAlign w:val="center"/>
          </w:tcPr>
          <w:p w14:paraId="0CAA7695">
            <w:pPr>
              <w:rPr>
                <w:rFonts w:ascii="Arial" w:hAnsi="Arial" w:cs="Arial"/>
                <w:color w:val="000000" w:themeColor="text1"/>
                <w:sz w:val="22"/>
              </w:rPr>
            </w:pPr>
            <w:r>
              <w:rPr>
                <w:rFonts w:ascii="Arial" w:hAnsi="Arial" w:cs="Arial"/>
                <w:color w:val="000000" w:themeColor="text1"/>
                <w:sz w:val="22"/>
              </w:rPr>
              <w:t>1</w:t>
            </w:r>
            <w:r>
              <w:rPr>
                <w:rFonts w:hint="eastAsia" w:ascii="Arial" w:hAnsi="Arial" w:cs="Arial"/>
                <w:color w:val="000000" w:themeColor="text1"/>
                <w:sz w:val="22"/>
              </w:rPr>
              <w:t>月</w:t>
            </w:r>
          </w:p>
        </w:tc>
      </w:tr>
      <w:tr w14:paraId="24D0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002E64BD">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4D9BDD23">
            <w:pPr>
              <w:pStyle w:val="20"/>
              <w:ind w:left="71" w:leftChars="34" w:firstLine="1"/>
              <w:rPr>
                <w:rFonts w:ascii="Arial" w:hAnsi="Arial" w:cs="Arial"/>
                <w:color w:val="000000" w:themeColor="text1"/>
                <w:sz w:val="22"/>
                <w:szCs w:val="22"/>
              </w:rPr>
            </w:pPr>
            <w:r>
              <w:rPr>
                <w:rFonts w:hint="eastAsia" w:ascii="Arial" w:hAnsi="宋体" w:cs="Arial"/>
                <w:color w:val="000000" w:themeColor="text1"/>
                <w:sz w:val="22"/>
                <w:szCs w:val="22"/>
              </w:rPr>
              <w:t>控制屏、变频器、计算机、调速装置、接触器、变压器工作状态检查及清洁</w:t>
            </w:r>
          </w:p>
        </w:tc>
        <w:tc>
          <w:tcPr>
            <w:tcW w:w="769" w:type="dxa"/>
            <w:vMerge w:val="continue"/>
            <w:tcBorders>
              <w:right w:val="single" w:color="auto" w:sz="12" w:space="0"/>
            </w:tcBorders>
            <w:vAlign w:val="center"/>
          </w:tcPr>
          <w:p w14:paraId="7C954DAB">
            <w:pPr>
              <w:rPr>
                <w:rFonts w:ascii="Arial" w:hAnsi="Arial" w:cs="Arial"/>
                <w:color w:val="000000" w:themeColor="text1"/>
                <w:sz w:val="22"/>
              </w:rPr>
            </w:pPr>
          </w:p>
        </w:tc>
      </w:tr>
      <w:tr w14:paraId="7439F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97136D8">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5CD97530">
            <w:pPr>
              <w:pStyle w:val="20"/>
              <w:ind w:left="71" w:leftChars="34" w:firstLine="1"/>
              <w:rPr>
                <w:rFonts w:ascii="Arial" w:hAnsi="Arial" w:cs="Arial"/>
                <w:color w:val="000000" w:themeColor="text1"/>
                <w:sz w:val="22"/>
                <w:szCs w:val="22"/>
              </w:rPr>
            </w:pPr>
            <w:r>
              <w:rPr>
                <w:rFonts w:hint="eastAsia" w:ascii="Arial" w:hAnsi="宋体" w:cs="Arial"/>
                <w:color w:val="000000" w:themeColor="text1"/>
                <w:sz w:val="22"/>
                <w:szCs w:val="22"/>
              </w:rPr>
              <w:t>抱闸瓦磨损及工作状态检查</w:t>
            </w:r>
          </w:p>
        </w:tc>
        <w:tc>
          <w:tcPr>
            <w:tcW w:w="769" w:type="dxa"/>
            <w:vMerge w:val="continue"/>
            <w:tcBorders>
              <w:right w:val="single" w:color="auto" w:sz="12" w:space="0"/>
            </w:tcBorders>
            <w:vAlign w:val="center"/>
          </w:tcPr>
          <w:p w14:paraId="63223711">
            <w:pPr>
              <w:rPr>
                <w:rFonts w:ascii="Arial" w:hAnsi="Arial" w:cs="Arial"/>
                <w:color w:val="000000" w:themeColor="text1"/>
                <w:sz w:val="22"/>
              </w:rPr>
            </w:pPr>
          </w:p>
        </w:tc>
      </w:tr>
      <w:tr w14:paraId="3925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0F9407DD">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tcBorders>
              <w:bottom w:val="single" w:color="auto" w:sz="12" w:space="0"/>
            </w:tcBorders>
            <w:vAlign w:val="center"/>
          </w:tcPr>
          <w:p w14:paraId="0EAA11E6">
            <w:pPr>
              <w:ind w:left="71" w:leftChars="34" w:firstLine="1"/>
              <w:rPr>
                <w:rFonts w:ascii="Arial" w:hAnsi="Arial" w:cs="Arial"/>
                <w:color w:val="000000" w:themeColor="text1"/>
                <w:sz w:val="22"/>
              </w:rPr>
            </w:pPr>
            <w:r>
              <w:rPr>
                <w:rFonts w:hint="eastAsia" w:ascii="Arial" w:hAnsi="宋体" w:cs="Arial"/>
                <w:color w:val="000000" w:themeColor="text1"/>
                <w:sz w:val="22"/>
              </w:rPr>
              <w:t>电机风扇检查</w:t>
            </w:r>
          </w:p>
        </w:tc>
        <w:tc>
          <w:tcPr>
            <w:tcW w:w="769" w:type="dxa"/>
            <w:vMerge w:val="continue"/>
            <w:tcBorders>
              <w:bottom w:val="single" w:color="auto" w:sz="12" w:space="0"/>
              <w:right w:val="single" w:color="auto" w:sz="12" w:space="0"/>
            </w:tcBorders>
            <w:vAlign w:val="center"/>
          </w:tcPr>
          <w:p w14:paraId="267B7691">
            <w:pPr>
              <w:rPr>
                <w:rFonts w:ascii="Arial" w:hAnsi="Arial" w:cs="Arial"/>
                <w:color w:val="000000" w:themeColor="text1"/>
                <w:sz w:val="22"/>
              </w:rPr>
            </w:pPr>
          </w:p>
        </w:tc>
      </w:tr>
      <w:tr w14:paraId="018A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758802AA">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3E9C177F">
            <w:pPr>
              <w:ind w:left="71" w:leftChars="34" w:firstLine="1"/>
              <w:rPr>
                <w:rFonts w:ascii="Arial" w:hAnsi="Arial" w:cs="Arial"/>
                <w:color w:val="000000" w:themeColor="text1"/>
                <w:sz w:val="22"/>
              </w:rPr>
            </w:pPr>
            <w:r>
              <w:rPr>
                <w:rFonts w:hint="eastAsia" w:ascii="Arial" w:hAnsi="宋体" w:cs="Arial"/>
                <w:color w:val="000000" w:themeColor="text1"/>
                <w:sz w:val="22"/>
              </w:rPr>
              <w:t>电动机冷却风扇的清洁、主机轴承、导向轴承加油</w:t>
            </w:r>
          </w:p>
        </w:tc>
        <w:tc>
          <w:tcPr>
            <w:tcW w:w="769" w:type="dxa"/>
            <w:vMerge w:val="restart"/>
            <w:tcBorders>
              <w:top w:val="single" w:color="auto" w:sz="12" w:space="0"/>
              <w:right w:val="single" w:color="auto" w:sz="12" w:space="0"/>
            </w:tcBorders>
            <w:vAlign w:val="center"/>
          </w:tcPr>
          <w:p w14:paraId="5CDF91B0">
            <w:pPr>
              <w:rPr>
                <w:rFonts w:ascii="Arial" w:hAnsi="Arial" w:cs="Arial"/>
                <w:color w:val="000000" w:themeColor="text1"/>
                <w:sz w:val="22"/>
              </w:rPr>
            </w:pPr>
            <w:r>
              <w:rPr>
                <w:rFonts w:ascii="Arial" w:hAnsi="Arial" w:cs="Arial"/>
                <w:color w:val="000000" w:themeColor="text1"/>
                <w:sz w:val="22"/>
              </w:rPr>
              <w:t>3</w:t>
            </w:r>
            <w:r>
              <w:rPr>
                <w:rFonts w:hint="eastAsia" w:ascii="Arial" w:hAnsi="Arial" w:cs="Arial"/>
                <w:color w:val="000000" w:themeColor="text1"/>
                <w:sz w:val="22"/>
              </w:rPr>
              <w:t>月</w:t>
            </w:r>
          </w:p>
        </w:tc>
      </w:tr>
      <w:tr w14:paraId="11F3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308703EE">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7A7EBF38">
            <w:pPr>
              <w:ind w:left="71" w:leftChars="34" w:firstLine="1"/>
              <w:rPr>
                <w:rFonts w:ascii="Arial" w:hAnsi="Arial" w:cs="Arial"/>
                <w:color w:val="000000" w:themeColor="text1"/>
                <w:sz w:val="22"/>
              </w:rPr>
            </w:pPr>
            <w:r>
              <w:rPr>
                <w:rFonts w:hint="eastAsia" w:ascii="Arial" w:hAnsi="宋体" w:cs="Arial"/>
                <w:color w:val="000000" w:themeColor="text1"/>
                <w:sz w:val="22"/>
              </w:rPr>
              <w:t>电源总开关检查</w:t>
            </w:r>
          </w:p>
        </w:tc>
        <w:tc>
          <w:tcPr>
            <w:tcW w:w="769" w:type="dxa"/>
            <w:vMerge w:val="continue"/>
            <w:tcBorders>
              <w:right w:val="single" w:color="auto" w:sz="12" w:space="0"/>
            </w:tcBorders>
            <w:vAlign w:val="center"/>
          </w:tcPr>
          <w:p w14:paraId="084727FF">
            <w:pPr>
              <w:pStyle w:val="20"/>
              <w:ind w:firstLine="2160"/>
              <w:rPr>
                <w:rFonts w:ascii="Arial" w:hAnsi="Arial" w:cs="Arial"/>
                <w:color w:val="000000" w:themeColor="text1"/>
                <w:sz w:val="22"/>
                <w:szCs w:val="22"/>
              </w:rPr>
            </w:pPr>
          </w:p>
        </w:tc>
      </w:tr>
      <w:tr w14:paraId="15B3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65F24614">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tcBorders>
              <w:bottom w:val="single" w:color="auto" w:sz="12" w:space="0"/>
            </w:tcBorders>
            <w:vAlign w:val="center"/>
          </w:tcPr>
          <w:p w14:paraId="45FF7281">
            <w:pPr>
              <w:ind w:left="71" w:leftChars="34" w:firstLine="1"/>
              <w:rPr>
                <w:rFonts w:ascii="Arial" w:hAnsi="Arial" w:cs="Arial"/>
                <w:color w:val="000000" w:themeColor="text1"/>
                <w:sz w:val="22"/>
              </w:rPr>
            </w:pPr>
            <w:r>
              <w:rPr>
                <w:rFonts w:hint="eastAsia" w:ascii="Arial" w:hAnsi="宋体" w:cs="Arial"/>
                <w:color w:val="000000" w:themeColor="text1"/>
                <w:sz w:val="22"/>
              </w:rPr>
              <w:t>各控制屏大清扫、各线螺丝紧固、各保险丝及过滤开关检查</w:t>
            </w:r>
          </w:p>
        </w:tc>
        <w:tc>
          <w:tcPr>
            <w:tcW w:w="769" w:type="dxa"/>
            <w:vMerge w:val="continue"/>
            <w:tcBorders>
              <w:bottom w:val="single" w:color="auto" w:sz="12" w:space="0"/>
              <w:right w:val="single" w:color="auto" w:sz="12" w:space="0"/>
            </w:tcBorders>
            <w:vAlign w:val="center"/>
          </w:tcPr>
          <w:p w14:paraId="50FBDDCC">
            <w:pPr>
              <w:pStyle w:val="20"/>
              <w:ind w:firstLine="2160"/>
              <w:rPr>
                <w:rFonts w:ascii="Arial" w:hAnsi="Arial" w:cs="Arial"/>
                <w:color w:val="000000" w:themeColor="text1"/>
                <w:sz w:val="22"/>
                <w:szCs w:val="22"/>
              </w:rPr>
            </w:pPr>
          </w:p>
        </w:tc>
      </w:tr>
      <w:tr w14:paraId="7DAF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6A3A29AE">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39BC36ED">
            <w:pPr>
              <w:ind w:left="71" w:leftChars="34" w:firstLine="1"/>
              <w:rPr>
                <w:rFonts w:ascii="Arial" w:hAnsi="Arial" w:cs="Arial"/>
                <w:color w:val="000000" w:themeColor="text1"/>
                <w:sz w:val="22"/>
              </w:rPr>
            </w:pPr>
            <w:r>
              <w:rPr>
                <w:rFonts w:hint="eastAsia" w:ascii="Arial" w:hAnsi="宋体" w:cs="Arial"/>
                <w:color w:val="000000" w:themeColor="text1"/>
                <w:sz w:val="22"/>
              </w:rPr>
              <w:t>曳引机齿油更换、蜗杆、蜗轮前后位位置检验</w:t>
            </w:r>
          </w:p>
        </w:tc>
        <w:tc>
          <w:tcPr>
            <w:tcW w:w="769" w:type="dxa"/>
            <w:vMerge w:val="restart"/>
            <w:tcBorders>
              <w:top w:val="single" w:color="auto" w:sz="12" w:space="0"/>
              <w:right w:val="single" w:color="auto" w:sz="12" w:space="0"/>
            </w:tcBorders>
            <w:vAlign w:val="center"/>
          </w:tcPr>
          <w:p w14:paraId="46AA546D">
            <w:pPr>
              <w:rPr>
                <w:rFonts w:ascii="Arial" w:hAnsi="Arial" w:cs="Arial"/>
                <w:color w:val="000000" w:themeColor="text1"/>
                <w:sz w:val="22"/>
              </w:rPr>
            </w:pPr>
            <w:r>
              <w:rPr>
                <w:rFonts w:ascii="Arial" w:hAnsi="Arial" w:cs="Arial"/>
                <w:color w:val="000000" w:themeColor="text1"/>
                <w:sz w:val="22"/>
              </w:rPr>
              <w:t>1</w:t>
            </w:r>
            <w:r>
              <w:rPr>
                <w:rFonts w:hint="eastAsia" w:ascii="Arial" w:hAnsi="Arial" w:cs="Arial"/>
                <w:color w:val="000000" w:themeColor="text1"/>
                <w:sz w:val="22"/>
              </w:rPr>
              <w:t>年</w:t>
            </w:r>
          </w:p>
        </w:tc>
      </w:tr>
      <w:tr w14:paraId="2151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282EE42C">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1987AA01">
            <w:pPr>
              <w:ind w:left="71" w:leftChars="34" w:firstLine="1"/>
              <w:rPr>
                <w:rFonts w:ascii="Arial" w:hAnsi="Arial" w:cs="Arial"/>
                <w:color w:val="000000" w:themeColor="text1"/>
                <w:sz w:val="22"/>
              </w:rPr>
            </w:pPr>
            <w:r>
              <w:rPr>
                <w:rFonts w:hint="eastAsia" w:ascii="Arial" w:hAnsi="宋体" w:cs="Arial"/>
                <w:color w:val="000000" w:themeColor="text1"/>
                <w:sz w:val="22"/>
              </w:rPr>
              <w:t>各种润滑油及轴承油更换（曳引机、限速器、电动机）</w:t>
            </w:r>
          </w:p>
        </w:tc>
        <w:tc>
          <w:tcPr>
            <w:tcW w:w="769" w:type="dxa"/>
            <w:vMerge w:val="continue"/>
            <w:tcBorders>
              <w:right w:val="single" w:color="auto" w:sz="12" w:space="0"/>
            </w:tcBorders>
            <w:vAlign w:val="center"/>
          </w:tcPr>
          <w:p w14:paraId="07D5BECA">
            <w:pPr>
              <w:rPr>
                <w:rFonts w:ascii="Arial" w:hAnsi="Arial" w:cs="Arial"/>
                <w:color w:val="000000" w:themeColor="text1"/>
                <w:sz w:val="22"/>
              </w:rPr>
            </w:pPr>
          </w:p>
        </w:tc>
      </w:tr>
      <w:tr w14:paraId="3AF1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0BB8041A">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53D913D1">
            <w:pPr>
              <w:ind w:left="71" w:leftChars="34" w:firstLine="1"/>
              <w:rPr>
                <w:rFonts w:ascii="Arial" w:hAnsi="Arial" w:cs="Arial"/>
                <w:color w:val="000000" w:themeColor="text1"/>
                <w:sz w:val="22"/>
              </w:rPr>
            </w:pPr>
            <w:r>
              <w:rPr>
                <w:rFonts w:hint="eastAsia" w:ascii="Arial" w:hAnsi="宋体" w:cs="Arial"/>
                <w:color w:val="000000" w:themeColor="text1"/>
                <w:sz w:val="22"/>
              </w:rPr>
              <w:t>电动机锭子、转子间间隙测量</w:t>
            </w:r>
          </w:p>
        </w:tc>
        <w:tc>
          <w:tcPr>
            <w:tcW w:w="769" w:type="dxa"/>
            <w:vMerge w:val="continue"/>
            <w:tcBorders>
              <w:right w:val="single" w:color="auto" w:sz="12" w:space="0"/>
            </w:tcBorders>
            <w:vAlign w:val="center"/>
          </w:tcPr>
          <w:p w14:paraId="37C13309">
            <w:pPr>
              <w:rPr>
                <w:rFonts w:ascii="Arial" w:hAnsi="Arial" w:cs="Arial"/>
                <w:color w:val="000000" w:themeColor="text1"/>
                <w:sz w:val="22"/>
              </w:rPr>
            </w:pPr>
          </w:p>
        </w:tc>
      </w:tr>
      <w:tr w14:paraId="1476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2309321A">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vAlign w:val="center"/>
          </w:tcPr>
          <w:p w14:paraId="425C28B3">
            <w:pPr>
              <w:ind w:left="71" w:leftChars="34" w:firstLine="1"/>
              <w:rPr>
                <w:rFonts w:ascii="Arial" w:hAnsi="Arial" w:cs="Arial"/>
                <w:color w:val="000000" w:themeColor="text1"/>
                <w:sz w:val="22"/>
              </w:rPr>
            </w:pPr>
            <w:r>
              <w:rPr>
                <w:rFonts w:hint="eastAsia" w:ascii="Arial" w:hAnsi="宋体" w:cs="Arial"/>
                <w:color w:val="000000" w:themeColor="text1"/>
                <w:sz w:val="22"/>
              </w:rPr>
              <w:t>曳引轮、导向轮线槽磨损情况检查</w:t>
            </w:r>
          </w:p>
        </w:tc>
        <w:tc>
          <w:tcPr>
            <w:tcW w:w="769" w:type="dxa"/>
            <w:vMerge w:val="continue"/>
            <w:tcBorders>
              <w:right w:val="single" w:color="auto" w:sz="12" w:space="0"/>
            </w:tcBorders>
            <w:vAlign w:val="center"/>
          </w:tcPr>
          <w:p w14:paraId="55275727">
            <w:pPr>
              <w:rPr>
                <w:rFonts w:ascii="Arial" w:hAnsi="Arial" w:cs="Arial"/>
                <w:color w:val="000000" w:themeColor="text1"/>
                <w:sz w:val="22"/>
              </w:rPr>
            </w:pPr>
          </w:p>
        </w:tc>
      </w:tr>
      <w:tr w14:paraId="17F5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4471CD1E">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5</w:t>
            </w:r>
          </w:p>
        </w:tc>
        <w:tc>
          <w:tcPr>
            <w:tcW w:w="7042" w:type="dxa"/>
            <w:vAlign w:val="center"/>
          </w:tcPr>
          <w:p w14:paraId="4314BC41">
            <w:pPr>
              <w:ind w:left="71" w:leftChars="34" w:firstLine="1"/>
              <w:rPr>
                <w:rFonts w:ascii="Arial" w:hAnsi="Arial" w:cs="Arial"/>
                <w:color w:val="000000" w:themeColor="text1"/>
                <w:sz w:val="22"/>
              </w:rPr>
            </w:pPr>
            <w:r>
              <w:rPr>
                <w:rFonts w:hint="eastAsia" w:ascii="Arial" w:hAnsi="宋体" w:cs="Arial"/>
                <w:color w:val="000000" w:themeColor="text1"/>
                <w:sz w:val="22"/>
              </w:rPr>
              <w:t>抱闸组合详细检查线圈电压测定</w:t>
            </w:r>
          </w:p>
        </w:tc>
        <w:tc>
          <w:tcPr>
            <w:tcW w:w="769" w:type="dxa"/>
            <w:vMerge w:val="continue"/>
            <w:tcBorders>
              <w:right w:val="single" w:color="auto" w:sz="12" w:space="0"/>
            </w:tcBorders>
            <w:vAlign w:val="center"/>
          </w:tcPr>
          <w:p w14:paraId="575BAA8A">
            <w:pPr>
              <w:rPr>
                <w:rFonts w:ascii="Arial" w:hAnsi="Arial" w:cs="Arial"/>
                <w:color w:val="000000" w:themeColor="text1"/>
                <w:sz w:val="22"/>
              </w:rPr>
            </w:pPr>
          </w:p>
        </w:tc>
      </w:tr>
      <w:tr w14:paraId="3B56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6AF996FB">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6</w:t>
            </w:r>
          </w:p>
        </w:tc>
        <w:tc>
          <w:tcPr>
            <w:tcW w:w="7042" w:type="dxa"/>
            <w:tcBorders>
              <w:bottom w:val="single" w:color="auto" w:sz="12" w:space="0"/>
            </w:tcBorders>
            <w:vAlign w:val="center"/>
          </w:tcPr>
          <w:p w14:paraId="0DD45DF1">
            <w:pPr>
              <w:ind w:left="71" w:leftChars="34" w:firstLine="1"/>
              <w:rPr>
                <w:rFonts w:ascii="Arial" w:hAnsi="Arial" w:cs="Arial"/>
                <w:color w:val="000000" w:themeColor="text1"/>
                <w:sz w:val="22"/>
              </w:rPr>
            </w:pPr>
            <w:r>
              <w:rPr>
                <w:rFonts w:hint="eastAsia" w:ascii="Arial" w:hAnsi="宋体" w:cs="Arial"/>
                <w:color w:val="000000" w:themeColor="text1"/>
                <w:sz w:val="22"/>
              </w:rPr>
              <w:t>测试限速器动作速度</w:t>
            </w:r>
          </w:p>
        </w:tc>
        <w:tc>
          <w:tcPr>
            <w:tcW w:w="769" w:type="dxa"/>
            <w:vMerge w:val="continue"/>
            <w:tcBorders>
              <w:bottom w:val="single" w:color="auto" w:sz="12" w:space="0"/>
              <w:right w:val="single" w:color="auto" w:sz="12" w:space="0"/>
            </w:tcBorders>
            <w:vAlign w:val="center"/>
          </w:tcPr>
          <w:p w14:paraId="5CBF6FBF">
            <w:pPr>
              <w:rPr>
                <w:rFonts w:ascii="Arial" w:hAnsi="Arial" w:cs="Arial"/>
                <w:color w:val="000000" w:themeColor="text1"/>
                <w:sz w:val="22"/>
              </w:rPr>
            </w:pPr>
          </w:p>
        </w:tc>
      </w:tr>
      <w:tr w14:paraId="2BB4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3076067E">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5C306778">
            <w:pPr>
              <w:rPr>
                <w:rFonts w:ascii="Arial" w:hAnsi="Arial" w:cs="Arial"/>
                <w:color w:val="000000" w:themeColor="text1"/>
                <w:sz w:val="22"/>
              </w:rPr>
            </w:pPr>
            <w:r>
              <w:rPr>
                <w:rFonts w:hint="eastAsia" w:ascii="Arial" w:hAnsi="宋体" w:cs="Arial"/>
                <w:color w:val="000000" w:themeColor="text1"/>
                <w:sz w:val="22"/>
              </w:rPr>
              <w:t>门机系统的清扫、检查、调整、润滑</w:t>
            </w:r>
          </w:p>
        </w:tc>
        <w:tc>
          <w:tcPr>
            <w:tcW w:w="769" w:type="dxa"/>
            <w:vMerge w:val="restart"/>
            <w:tcBorders>
              <w:top w:val="single" w:color="auto" w:sz="12" w:space="0"/>
              <w:right w:val="single" w:color="auto" w:sz="12" w:space="0"/>
            </w:tcBorders>
            <w:vAlign w:val="center"/>
          </w:tcPr>
          <w:p w14:paraId="5104A935">
            <w:pPr>
              <w:rPr>
                <w:rFonts w:ascii="Arial" w:hAnsi="Arial" w:cs="Arial"/>
                <w:color w:val="000000" w:themeColor="text1"/>
                <w:sz w:val="22"/>
              </w:rPr>
            </w:pPr>
            <w:r>
              <w:rPr>
                <w:rFonts w:ascii="Arial" w:hAnsi="Arial" w:cs="Arial"/>
                <w:color w:val="000000" w:themeColor="text1"/>
                <w:sz w:val="22"/>
              </w:rPr>
              <w:t>2</w:t>
            </w:r>
            <w:r>
              <w:rPr>
                <w:rFonts w:hint="eastAsia" w:ascii="Arial" w:hAnsi="Arial" w:cs="Arial"/>
                <w:color w:val="000000" w:themeColor="text1"/>
                <w:sz w:val="22"/>
              </w:rPr>
              <w:t>周</w:t>
            </w:r>
          </w:p>
        </w:tc>
      </w:tr>
      <w:tr w14:paraId="1F11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5764C748">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366C8969">
            <w:pPr>
              <w:rPr>
                <w:rFonts w:ascii="Arial" w:hAnsi="Arial" w:cs="Arial"/>
                <w:color w:val="000000" w:themeColor="text1"/>
                <w:sz w:val="22"/>
              </w:rPr>
            </w:pPr>
            <w:r>
              <w:rPr>
                <w:rFonts w:hint="eastAsia" w:ascii="Arial" w:hAnsi="宋体" w:cs="Arial"/>
                <w:color w:val="000000" w:themeColor="text1"/>
                <w:sz w:val="22"/>
              </w:rPr>
              <w:t>各樘门、滚轮、偏心轮、自动关门套件，门链条、</w:t>
            </w:r>
          </w:p>
        </w:tc>
        <w:tc>
          <w:tcPr>
            <w:tcW w:w="769" w:type="dxa"/>
            <w:vMerge w:val="continue"/>
            <w:tcBorders>
              <w:right w:val="single" w:color="auto" w:sz="12" w:space="0"/>
            </w:tcBorders>
            <w:vAlign w:val="center"/>
          </w:tcPr>
          <w:p w14:paraId="2A990D4E">
            <w:pPr>
              <w:pStyle w:val="20"/>
              <w:ind w:firstLine="2160"/>
              <w:rPr>
                <w:rFonts w:ascii="Arial" w:hAnsi="Arial" w:cs="Arial"/>
                <w:color w:val="000000" w:themeColor="text1"/>
                <w:sz w:val="22"/>
                <w:szCs w:val="22"/>
              </w:rPr>
            </w:pPr>
          </w:p>
        </w:tc>
      </w:tr>
      <w:tr w14:paraId="4E46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1834E8B">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5011C299">
            <w:pPr>
              <w:rPr>
                <w:rFonts w:ascii="Arial" w:hAnsi="Arial" w:cs="Arial"/>
                <w:color w:val="000000" w:themeColor="text1"/>
                <w:sz w:val="22"/>
              </w:rPr>
            </w:pPr>
            <w:r>
              <w:rPr>
                <w:rFonts w:hint="eastAsia" w:ascii="Arial" w:hAnsi="宋体" w:cs="Arial"/>
                <w:color w:val="000000" w:themeColor="text1"/>
                <w:sz w:val="22"/>
              </w:rPr>
              <w:t>门轨等检查清洁及润滑</w:t>
            </w:r>
          </w:p>
        </w:tc>
        <w:tc>
          <w:tcPr>
            <w:tcW w:w="769" w:type="dxa"/>
            <w:vMerge w:val="continue"/>
            <w:tcBorders>
              <w:right w:val="single" w:color="auto" w:sz="12" w:space="0"/>
            </w:tcBorders>
            <w:vAlign w:val="center"/>
          </w:tcPr>
          <w:p w14:paraId="3C9AA373">
            <w:pPr>
              <w:pStyle w:val="20"/>
              <w:ind w:firstLine="2160"/>
              <w:rPr>
                <w:rFonts w:ascii="Arial" w:hAnsi="Arial" w:cs="Arial"/>
                <w:color w:val="000000" w:themeColor="text1"/>
                <w:sz w:val="22"/>
                <w:szCs w:val="22"/>
              </w:rPr>
            </w:pPr>
          </w:p>
        </w:tc>
      </w:tr>
      <w:tr w14:paraId="4E19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368A848">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vAlign w:val="center"/>
          </w:tcPr>
          <w:p w14:paraId="1ED121C5">
            <w:pPr>
              <w:rPr>
                <w:rFonts w:ascii="Arial" w:hAnsi="Arial" w:cs="Arial"/>
                <w:color w:val="000000" w:themeColor="text1"/>
                <w:sz w:val="22"/>
              </w:rPr>
            </w:pPr>
            <w:r>
              <w:rPr>
                <w:rFonts w:hint="eastAsia" w:ascii="Arial" w:hAnsi="宋体" w:cs="Arial"/>
                <w:color w:val="000000" w:themeColor="text1"/>
                <w:sz w:val="22"/>
              </w:rPr>
              <w:t>各门锁及安全触板开关的检查及调整</w:t>
            </w:r>
          </w:p>
        </w:tc>
        <w:tc>
          <w:tcPr>
            <w:tcW w:w="769" w:type="dxa"/>
            <w:vMerge w:val="continue"/>
            <w:tcBorders>
              <w:right w:val="single" w:color="auto" w:sz="12" w:space="0"/>
            </w:tcBorders>
            <w:vAlign w:val="center"/>
          </w:tcPr>
          <w:p w14:paraId="5CDA0610">
            <w:pPr>
              <w:pStyle w:val="20"/>
              <w:ind w:firstLine="2160"/>
              <w:rPr>
                <w:rFonts w:ascii="Arial" w:hAnsi="Arial" w:cs="Arial"/>
                <w:color w:val="000000" w:themeColor="text1"/>
                <w:sz w:val="22"/>
                <w:szCs w:val="22"/>
              </w:rPr>
            </w:pPr>
          </w:p>
        </w:tc>
      </w:tr>
      <w:tr w14:paraId="54BE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5586F2F7">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5</w:t>
            </w:r>
          </w:p>
        </w:tc>
        <w:tc>
          <w:tcPr>
            <w:tcW w:w="7042" w:type="dxa"/>
            <w:vAlign w:val="center"/>
          </w:tcPr>
          <w:p w14:paraId="58335D4E">
            <w:pPr>
              <w:rPr>
                <w:rFonts w:ascii="Arial" w:hAnsi="Arial" w:cs="Arial"/>
                <w:color w:val="000000" w:themeColor="text1"/>
                <w:sz w:val="22"/>
              </w:rPr>
            </w:pPr>
            <w:r>
              <w:rPr>
                <w:rFonts w:hint="eastAsia" w:ascii="Arial" w:hAnsi="宋体" w:cs="Arial"/>
                <w:color w:val="000000" w:themeColor="text1"/>
                <w:sz w:val="22"/>
              </w:rPr>
              <w:t>各门地坎、层门、轿门、轿厢清洁</w:t>
            </w:r>
          </w:p>
        </w:tc>
        <w:tc>
          <w:tcPr>
            <w:tcW w:w="769" w:type="dxa"/>
            <w:vMerge w:val="continue"/>
            <w:tcBorders>
              <w:right w:val="single" w:color="auto" w:sz="12" w:space="0"/>
            </w:tcBorders>
            <w:vAlign w:val="center"/>
          </w:tcPr>
          <w:p w14:paraId="1ACDC6F1">
            <w:pPr>
              <w:pStyle w:val="20"/>
              <w:ind w:firstLine="2160"/>
              <w:rPr>
                <w:rFonts w:ascii="Arial" w:hAnsi="Arial" w:cs="Arial"/>
                <w:color w:val="000000" w:themeColor="text1"/>
                <w:sz w:val="22"/>
                <w:szCs w:val="22"/>
              </w:rPr>
            </w:pPr>
          </w:p>
        </w:tc>
      </w:tr>
      <w:tr w14:paraId="56C8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26AD845C">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6</w:t>
            </w:r>
          </w:p>
        </w:tc>
        <w:tc>
          <w:tcPr>
            <w:tcW w:w="7042" w:type="dxa"/>
            <w:vAlign w:val="center"/>
          </w:tcPr>
          <w:p w14:paraId="3B14C3D5">
            <w:pPr>
              <w:rPr>
                <w:rFonts w:ascii="Arial" w:hAnsi="Arial" w:cs="Arial"/>
                <w:color w:val="000000" w:themeColor="text1"/>
                <w:sz w:val="22"/>
              </w:rPr>
            </w:pPr>
            <w:r>
              <w:rPr>
                <w:rFonts w:hint="eastAsia" w:ascii="Arial" w:hAnsi="宋体" w:cs="Arial"/>
                <w:color w:val="000000" w:themeColor="text1"/>
                <w:sz w:val="22"/>
              </w:rPr>
              <w:t>运行情况的检查（起动、运行、加减速及停车平稳性、震动、噪音、平层）</w:t>
            </w:r>
          </w:p>
        </w:tc>
        <w:tc>
          <w:tcPr>
            <w:tcW w:w="769" w:type="dxa"/>
            <w:vMerge w:val="continue"/>
            <w:tcBorders>
              <w:right w:val="single" w:color="auto" w:sz="12" w:space="0"/>
            </w:tcBorders>
            <w:vAlign w:val="center"/>
          </w:tcPr>
          <w:p w14:paraId="0417CC25">
            <w:pPr>
              <w:pStyle w:val="20"/>
              <w:ind w:firstLine="2160"/>
              <w:rPr>
                <w:rFonts w:ascii="Arial" w:hAnsi="Arial" w:cs="Arial"/>
                <w:color w:val="000000" w:themeColor="text1"/>
                <w:sz w:val="22"/>
                <w:szCs w:val="22"/>
              </w:rPr>
            </w:pPr>
          </w:p>
        </w:tc>
      </w:tr>
      <w:tr w14:paraId="3E23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29DDB071">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7</w:t>
            </w:r>
          </w:p>
        </w:tc>
        <w:tc>
          <w:tcPr>
            <w:tcW w:w="7042" w:type="dxa"/>
            <w:vAlign w:val="center"/>
          </w:tcPr>
          <w:p w14:paraId="6F64A470">
            <w:pPr>
              <w:rPr>
                <w:rFonts w:ascii="Arial" w:hAnsi="Arial" w:cs="Arial"/>
                <w:color w:val="000000" w:themeColor="text1"/>
                <w:sz w:val="22"/>
              </w:rPr>
            </w:pPr>
            <w:r>
              <w:rPr>
                <w:rFonts w:hint="eastAsia" w:ascii="Arial" w:hAnsi="宋体" w:cs="Arial"/>
                <w:color w:val="000000" w:themeColor="text1"/>
                <w:sz w:val="22"/>
              </w:rPr>
              <w:t>轿顶清扫及各开关的有效确认</w:t>
            </w:r>
          </w:p>
        </w:tc>
        <w:tc>
          <w:tcPr>
            <w:tcW w:w="769" w:type="dxa"/>
            <w:vMerge w:val="continue"/>
            <w:tcBorders>
              <w:right w:val="single" w:color="auto" w:sz="12" w:space="0"/>
            </w:tcBorders>
            <w:vAlign w:val="center"/>
          </w:tcPr>
          <w:p w14:paraId="373530BD">
            <w:pPr>
              <w:pStyle w:val="20"/>
              <w:ind w:firstLine="2160"/>
              <w:rPr>
                <w:rFonts w:ascii="Arial" w:hAnsi="Arial" w:cs="Arial"/>
                <w:color w:val="000000" w:themeColor="text1"/>
                <w:sz w:val="22"/>
                <w:szCs w:val="22"/>
              </w:rPr>
            </w:pPr>
          </w:p>
        </w:tc>
      </w:tr>
      <w:tr w14:paraId="4F4F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5C490E7C">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8</w:t>
            </w:r>
          </w:p>
        </w:tc>
        <w:tc>
          <w:tcPr>
            <w:tcW w:w="7042" w:type="dxa"/>
            <w:vAlign w:val="center"/>
          </w:tcPr>
          <w:p w14:paraId="5BAA04DF">
            <w:pPr>
              <w:rPr>
                <w:rFonts w:ascii="Arial" w:hAnsi="Arial" w:cs="Arial"/>
                <w:color w:val="000000" w:themeColor="text1"/>
                <w:sz w:val="22"/>
              </w:rPr>
            </w:pPr>
            <w:r>
              <w:rPr>
                <w:rFonts w:hint="eastAsia" w:ascii="Arial" w:hAnsi="宋体" w:cs="Arial"/>
                <w:color w:val="000000" w:themeColor="text1"/>
                <w:sz w:val="22"/>
              </w:rPr>
              <w:t>各信号指示及指令灯检查、更换</w:t>
            </w:r>
          </w:p>
        </w:tc>
        <w:tc>
          <w:tcPr>
            <w:tcW w:w="769" w:type="dxa"/>
            <w:vMerge w:val="continue"/>
            <w:tcBorders>
              <w:right w:val="single" w:color="auto" w:sz="12" w:space="0"/>
            </w:tcBorders>
            <w:vAlign w:val="center"/>
          </w:tcPr>
          <w:p w14:paraId="319E757E">
            <w:pPr>
              <w:pStyle w:val="20"/>
              <w:ind w:firstLine="2160"/>
              <w:rPr>
                <w:rFonts w:ascii="Arial" w:hAnsi="Arial" w:cs="Arial"/>
                <w:color w:val="000000" w:themeColor="text1"/>
                <w:sz w:val="22"/>
                <w:szCs w:val="22"/>
              </w:rPr>
            </w:pPr>
          </w:p>
        </w:tc>
      </w:tr>
      <w:tr w14:paraId="2F99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1DBAB051">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9</w:t>
            </w:r>
          </w:p>
        </w:tc>
        <w:tc>
          <w:tcPr>
            <w:tcW w:w="7042" w:type="dxa"/>
            <w:vAlign w:val="center"/>
          </w:tcPr>
          <w:p w14:paraId="7B461668">
            <w:pPr>
              <w:rPr>
                <w:rFonts w:ascii="Arial" w:hAnsi="Arial" w:cs="Arial"/>
                <w:color w:val="000000" w:themeColor="text1"/>
                <w:sz w:val="22"/>
              </w:rPr>
            </w:pPr>
            <w:r>
              <w:rPr>
                <w:rFonts w:hint="eastAsia" w:ascii="Arial" w:hAnsi="宋体" w:cs="Arial"/>
                <w:color w:val="000000" w:themeColor="text1"/>
                <w:sz w:val="22"/>
              </w:rPr>
              <w:t>各油杯油量检查及补充</w:t>
            </w:r>
          </w:p>
        </w:tc>
        <w:tc>
          <w:tcPr>
            <w:tcW w:w="769" w:type="dxa"/>
            <w:vMerge w:val="continue"/>
            <w:tcBorders>
              <w:right w:val="single" w:color="auto" w:sz="12" w:space="0"/>
            </w:tcBorders>
            <w:vAlign w:val="center"/>
          </w:tcPr>
          <w:p w14:paraId="2F0AF0B1">
            <w:pPr>
              <w:pStyle w:val="20"/>
              <w:ind w:firstLine="2160"/>
              <w:rPr>
                <w:rFonts w:ascii="Arial" w:hAnsi="Arial" w:cs="Arial"/>
                <w:color w:val="000000" w:themeColor="text1"/>
                <w:sz w:val="22"/>
                <w:szCs w:val="22"/>
              </w:rPr>
            </w:pPr>
          </w:p>
        </w:tc>
      </w:tr>
      <w:tr w14:paraId="3467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6B3F424">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10</w:t>
            </w:r>
          </w:p>
        </w:tc>
        <w:tc>
          <w:tcPr>
            <w:tcW w:w="7042" w:type="dxa"/>
            <w:vAlign w:val="center"/>
          </w:tcPr>
          <w:p w14:paraId="2DBE2BEC">
            <w:pPr>
              <w:rPr>
                <w:rFonts w:ascii="Arial" w:hAnsi="Arial" w:cs="Arial"/>
                <w:color w:val="000000" w:themeColor="text1"/>
                <w:sz w:val="22"/>
              </w:rPr>
            </w:pPr>
            <w:r>
              <w:rPr>
                <w:rFonts w:hint="eastAsia" w:ascii="Arial" w:hAnsi="宋体" w:cs="Arial"/>
                <w:color w:val="000000" w:themeColor="text1"/>
                <w:sz w:val="22"/>
              </w:rPr>
              <w:t>检查电梯故障密码与急修记录</w:t>
            </w:r>
          </w:p>
        </w:tc>
        <w:tc>
          <w:tcPr>
            <w:tcW w:w="769" w:type="dxa"/>
            <w:vMerge w:val="continue"/>
            <w:tcBorders>
              <w:right w:val="single" w:color="auto" w:sz="12" w:space="0"/>
            </w:tcBorders>
            <w:vAlign w:val="center"/>
          </w:tcPr>
          <w:p w14:paraId="4C7117E7">
            <w:pPr>
              <w:pStyle w:val="20"/>
              <w:ind w:firstLine="2160"/>
              <w:rPr>
                <w:rFonts w:ascii="Arial" w:hAnsi="Arial" w:cs="Arial"/>
                <w:color w:val="000000" w:themeColor="text1"/>
                <w:sz w:val="22"/>
                <w:szCs w:val="22"/>
              </w:rPr>
            </w:pPr>
          </w:p>
        </w:tc>
      </w:tr>
      <w:tr w14:paraId="32F7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0FF1E1CB">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339F3451">
            <w:pPr>
              <w:rPr>
                <w:rFonts w:ascii="Arial" w:hAnsi="Arial" w:cs="Arial"/>
                <w:color w:val="000000" w:themeColor="text1"/>
                <w:sz w:val="22"/>
              </w:rPr>
            </w:pPr>
            <w:r>
              <w:rPr>
                <w:rFonts w:hint="eastAsia" w:ascii="Arial" w:hAnsi="宋体" w:cs="Arial"/>
                <w:color w:val="000000" w:themeColor="text1"/>
                <w:sz w:val="22"/>
              </w:rPr>
              <w:t>蓄电池、应急灯、电话、警铃、对讲机、语音报站、故障通信等检查</w:t>
            </w:r>
          </w:p>
        </w:tc>
        <w:tc>
          <w:tcPr>
            <w:tcW w:w="769" w:type="dxa"/>
            <w:vMerge w:val="restart"/>
            <w:tcBorders>
              <w:top w:val="single" w:color="auto" w:sz="12" w:space="0"/>
              <w:right w:val="single" w:color="auto" w:sz="12" w:space="0"/>
            </w:tcBorders>
            <w:vAlign w:val="center"/>
          </w:tcPr>
          <w:p w14:paraId="04C69D87">
            <w:pPr>
              <w:rPr>
                <w:rFonts w:ascii="Arial" w:hAnsi="Arial" w:cs="Arial"/>
                <w:color w:val="000000" w:themeColor="text1"/>
                <w:sz w:val="22"/>
              </w:rPr>
            </w:pPr>
            <w:r>
              <w:rPr>
                <w:rFonts w:ascii="Arial" w:hAnsi="Arial" w:cs="Arial"/>
                <w:color w:val="000000" w:themeColor="text1"/>
                <w:sz w:val="22"/>
              </w:rPr>
              <w:t>1</w:t>
            </w:r>
            <w:r>
              <w:rPr>
                <w:rFonts w:hint="eastAsia" w:ascii="Arial" w:hAnsi="Arial" w:cs="Arial"/>
                <w:color w:val="000000" w:themeColor="text1"/>
                <w:sz w:val="22"/>
              </w:rPr>
              <w:t>月</w:t>
            </w:r>
          </w:p>
        </w:tc>
      </w:tr>
      <w:tr w14:paraId="0D16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6FD7C4B6">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4D26A826">
            <w:pPr>
              <w:rPr>
                <w:rFonts w:ascii="Arial" w:hAnsi="Arial" w:cs="Arial"/>
                <w:color w:val="000000" w:themeColor="text1"/>
                <w:sz w:val="22"/>
              </w:rPr>
            </w:pPr>
            <w:r>
              <w:rPr>
                <w:rFonts w:hint="eastAsia" w:ascii="Arial" w:hAnsi="宋体" w:cs="Arial"/>
                <w:color w:val="000000" w:themeColor="text1"/>
                <w:sz w:val="22"/>
              </w:rPr>
              <w:t>内外部门的啮合装置检查、清扫、注油（门刀及传动装置）</w:t>
            </w:r>
          </w:p>
        </w:tc>
        <w:tc>
          <w:tcPr>
            <w:tcW w:w="769" w:type="dxa"/>
            <w:vMerge w:val="continue"/>
            <w:tcBorders>
              <w:right w:val="single" w:color="auto" w:sz="12" w:space="0"/>
            </w:tcBorders>
            <w:vAlign w:val="center"/>
          </w:tcPr>
          <w:p w14:paraId="638DE05A">
            <w:pPr>
              <w:rPr>
                <w:rFonts w:ascii="Arial" w:hAnsi="Arial" w:cs="Arial"/>
                <w:color w:val="000000" w:themeColor="text1"/>
                <w:sz w:val="22"/>
              </w:rPr>
            </w:pPr>
          </w:p>
        </w:tc>
      </w:tr>
      <w:tr w14:paraId="412E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2A981E8">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4357B255">
            <w:pPr>
              <w:rPr>
                <w:rFonts w:ascii="Arial" w:hAnsi="Arial" w:cs="Arial"/>
                <w:color w:val="000000" w:themeColor="text1"/>
                <w:sz w:val="22"/>
              </w:rPr>
            </w:pPr>
            <w:r>
              <w:rPr>
                <w:rFonts w:hint="eastAsia" w:ascii="Arial" w:hAnsi="宋体" w:cs="Arial"/>
                <w:color w:val="000000" w:themeColor="text1"/>
                <w:sz w:val="22"/>
              </w:rPr>
              <w:t>安全触板、门光电、光幕开关及线路检查</w:t>
            </w:r>
          </w:p>
        </w:tc>
        <w:tc>
          <w:tcPr>
            <w:tcW w:w="769" w:type="dxa"/>
            <w:vMerge w:val="continue"/>
            <w:tcBorders>
              <w:right w:val="single" w:color="auto" w:sz="12" w:space="0"/>
            </w:tcBorders>
            <w:vAlign w:val="center"/>
          </w:tcPr>
          <w:p w14:paraId="40A4C7BF">
            <w:pPr>
              <w:rPr>
                <w:rFonts w:ascii="Arial" w:hAnsi="Arial" w:cs="Arial"/>
                <w:color w:val="000000" w:themeColor="text1"/>
                <w:sz w:val="22"/>
              </w:rPr>
            </w:pPr>
          </w:p>
        </w:tc>
      </w:tr>
      <w:tr w14:paraId="5980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3187157B">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vAlign w:val="center"/>
          </w:tcPr>
          <w:p w14:paraId="1B0F510A">
            <w:pPr>
              <w:rPr>
                <w:rFonts w:ascii="Arial" w:hAnsi="Arial" w:cs="Arial"/>
                <w:color w:val="000000" w:themeColor="text1"/>
                <w:sz w:val="22"/>
              </w:rPr>
            </w:pPr>
            <w:r>
              <w:rPr>
                <w:rFonts w:hint="eastAsia" w:ascii="Arial" w:hAnsi="宋体" w:cs="Arial"/>
                <w:color w:val="000000" w:themeColor="text1"/>
                <w:sz w:val="22"/>
              </w:rPr>
              <w:t>各限位开关、强迫减速开关位置检查、清洁加油及调整</w:t>
            </w:r>
          </w:p>
        </w:tc>
        <w:tc>
          <w:tcPr>
            <w:tcW w:w="769" w:type="dxa"/>
            <w:vMerge w:val="continue"/>
            <w:tcBorders>
              <w:right w:val="single" w:color="auto" w:sz="12" w:space="0"/>
            </w:tcBorders>
            <w:vAlign w:val="center"/>
          </w:tcPr>
          <w:p w14:paraId="36105051">
            <w:pPr>
              <w:rPr>
                <w:rFonts w:ascii="Arial" w:hAnsi="Arial" w:cs="Arial"/>
                <w:color w:val="000000" w:themeColor="text1"/>
                <w:sz w:val="22"/>
              </w:rPr>
            </w:pPr>
          </w:p>
        </w:tc>
      </w:tr>
      <w:tr w14:paraId="3CFF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E93016C">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5</w:t>
            </w:r>
          </w:p>
        </w:tc>
        <w:tc>
          <w:tcPr>
            <w:tcW w:w="7042" w:type="dxa"/>
            <w:vAlign w:val="center"/>
          </w:tcPr>
          <w:p w14:paraId="3C0CADCB">
            <w:pPr>
              <w:rPr>
                <w:rFonts w:ascii="Arial" w:hAnsi="Arial" w:cs="Arial"/>
                <w:color w:val="000000" w:themeColor="text1"/>
                <w:sz w:val="22"/>
              </w:rPr>
            </w:pPr>
            <w:r>
              <w:rPr>
                <w:rFonts w:hint="eastAsia" w:ascii="Arial" w:hAnsi="宋体" w:cs="Arial"/>
                <w:color w:val="000000" w:themeColor="text1"/>
                <w:sz w:val="22"/>
              </w:rPr>
              <w:t>井道底坑各设备检查、清扫、加油（极限开关、涨紧轮及开关、缓冲器及开关、检修开关盒）</w:t>
            </w:r>
          </w:p>
        </w:tc>
        <w:tc>
          <w:tcPr>
            <w:tcW w:w="769" w:type="dxa"/>
            <w:vMerge w:val="continue"/>
            <w:tcBorders>
              <w:right w:val="single" w:color="auto" w:sz="12" w:space="0"/>
            </w:tcBorders>
            <w:vAlign w:val="center"/>
          </w:tcPr>
          <w:p w14:paraId="0B72D7FB">
            <w:pPr>
              <w:rPr>
                <w:rFonts w:ascii="Arial" w:hAnsi="Arial" w:cs="Arial"/>
                <w:color w:val="000000" w:themeColor="text1"/>
                <w:sz w:val="22"/>
              </w:rPr>
            </w:pPr>
          </w:p>
        </w:tc>
      </w:tr>
      <w:tr w14:paraId="645D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36FA85A2">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6</w:t>
            </w:r>
          </w:p>
        </w:tc>
        <w:tc>
          <w:tcPr>
            <w:tcW w:w="7042" w:type="dxa"/>
            <w:tcBorders>
              <w:bottom w:val="single" w:color="auto" w:sz="12" w:space="0"/>
            </w:tcBorders>
            <w:vAlign w:val="center"/>
          </w:tcPr>
          <w:p w14:paraId="551370FC">
            <w:pPr>
              <w:rPr>
                <w:rFonts w:ascii="Arial" w:hAnsi="Arial" w:cs="Arial"/>
                <w:color w:val="000000" w:themeColor="text1"/>
                <w:sz w:val="22"/>
              </w:rPr>
            </w:pPr>
            <w:r>
              <w:rPr>
                <w:rFonts w:hint="eastAsia" w:ascii="Arial" w:hAnsi="宋体" w:cs="Arial"/>
                <w:color w:val="000000" w:themeColor="text1"/>
                <w:sz w:val="22"/>
              </w:rPr>
              <w:t>吊顶、轿厢壁、风扇叶孔的清洁</w:t>
            </w:r>
          </w:p>
        </w:tc>
        <w:tc>
          <w:tcPr>
            <w:tcW w:w="769" w:type="dxa"/>
            <w:vMerge w:val="continue"/>
            <w:tcBorders>
              <w:bottom w:val="single" w:color="auto" w:sz="12" w:space="0"/>
              <w:right w:val="single" w:color="auto" w:sz="12" w:space="0"/>
            </w:tcBorders>
            <w:vAlign w:val="center"/>
          </w:tcPr>
          <w:p w14:paraId="6B4DF5ED">
            <w:pPr>
              <w:rPr>
                <w:rFonts w:ascii="Arial" w:hAnsi="Arial" w:cs="Arial"/>
                <w:color w:val="000000" w:themeColor="text1"/>
                <w:sz w:val="22"/>
              </w:rPr>
            </w:pPr>
          </w:p>
        </w:tc>
      </w:tr>
      <w:tr w14:paraId="4A74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241EC505">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7C0177C0">
            <w:pPr>
              <w:rPr>
                <w:rFonts w:ascii="Arial" w:hAnsi="Arial" w:cs="Arial"/>
                <w:color w:val="000000" w:themeColor="text1"/>
                <w:sz w:val="22"/>
              </w:rPr>
            </w:pPr>
            <w:r>
              <w:rPr>
                <w:rFonts w:hint="eastAsia" w:ascii="Arial" w:hAnsi="宋体" w:cs="Arial"/>
                <w:color w:val="000000" w:themeColor="text1"/>
                <w:sz w:val="22"/>
              </w:rPr>
              <w:t>各轴承补油</w:t>
            </w:r>
          </w:p>
        </w:tc>
        <w:tc>
          <w:tcPr>
            <w:tcW w:w="769" w:type="dxa"/>
            <w:vMerge w:val="restart"/>
            <w:tcBorders>
              <w:top w:val="single" w:color="auto" w:sz="12" w:space="0"/>
              <w:right w:val="single" w:color="auto" w:sz="12" w:space="0"/>
            </w:tcBorders>
            <w:vAlign w:val="center"/>
          </w:tcPr>
          <w:p w14:paraId="1FF47245">
            <w:pPr>
              <w:rPr>
                <w:rFonts w:ascii="Arial" w:hAnsi="Arial" w:cs="Arial"/>
                <w:color w:val="000000" w:themeColor="text1"/>
                <w:sz w:val="22"/>
              </w:rPr>
            </w:pPr>
            <w:r>
              <w:rPr>
                <w:rFonts w:ascii="Arial" w:hAnsi="Arial" w:cs="Arial"/>
                <w:color w:val="000000" w:themeColor="text1"/>
                <w:sz w:val="22"/>
              </w:rPr>
              <w:t>3</w:t>
            </w:r>
            <w:r>
              <w:rPr>
                <w:rFonts w:hint="eastAsia" w:ascii="Arial" w:hAnsi="Arial" w:cs="Arial"/>
                <w:color w:val="000000" w:themeColor="text1"/>
                <w:sz w:val="22"/>
              </w:rPr>
              <w:t>月</w:t>
            </w:r>
          </w:p>
        </w:tc>
      </w:tr>
      <w:tr w14:paraId="4E874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3B50277C">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72F00F28">
            <w:pPr>
              <w:rPr>
                <w:rFonts w:ascii="Arial" w:hAnsi="Arial" w:cs="Arial"/>
                <w:color w:val="000000" w:themeColor="text1"/>
                <w:sz w:val="22"/>
              </w:rPr>
            </w:pPr>
            <w:r>
              <w:rPr>
                <w:rFonts w:hint="eastAsia" w:ascii="Arial" w:hAnsi="宋体" w:cs="Arial"/>
                <w:color w:val="000000" w:themeColor="text1"/>
                <w:sz w:val="22"/>
              </w:rPr>
              <w:t>轿顶、轿底螺丝紧固</w:t>
            </w:r>
          </w:p>
        </w:tc>
        <w:tc>
          <w:tcPr>
            <w:tcW w:w="769" w:type="dxa"/>
            <w:vMerge w:val="continue"/>
            <w:tcBorders>
              <w:right w:val="single" w:color="auto" w:sz="12" w:space="0"/>
            </w:tcBorders>
            <w:vAlign w:val="center"/>
          </w:tcPr>
          <w:p w14:paraId="7CFB2DBD">
            <w:pPr>
              <w:rPr>
                <w:rFonts w:ascii="Arial" w:hAnsi="Arial" w:cs="Arial"/>
                <w:color w:val="000000" w:themeColor="text1"/>
                <w:sz w:val="22"/>
              </w:rPr>
            </w:pPr>
          </w:p>
        </w:tc>
      </w:tr>
      <w:tr w14:paraId="468D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E8ED746">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2614E810">
            <w:pPr>
              <w:rPr>
                <w:rFonts w:ascii="Arial" w:hAnsi="Arial" w:cs="Arial"/>
                <w:color w:val="000000" w:themeColor="text1"/>
                <w:sz w:val="22"/>
              </w:rPr>
            </w:pPr>
            <w:r>
              <w:rPr>
                <w:rFonts w:hint="eastAsia" w:ascii="Arial" w:hAnsi="宋体" w:cs="Arial"/>
                <w:color w:val="000000" w:themeColor="text1"/>
                <w:sz w:val="22"/>
              </w:rPr>
              <w:t>轿顶接线盒、门电机、门机板的检查、清扫（重点接点清洁、引线接点紧固）</w:t>
            </w:r>
          </w:p>
        </w:tc>
        <w:tc>
          <w:tcPr>
            <w:tcW w:w="769" w:type="dxa"/>
            <w:vMerge w:val="continue"/>
            <w:tcBorders>
              <w:right w:val="single" w:color="auto" w:sz="12" w:space="0"/>
            </w:tcBorders>
            <w:vAlign w:val="center"/>
          </w:tcPr>
          <w:p w14:paraId="05AA7988">
            <w:pPr>
              <w:rPr>
                <w:rFonts w:ascii="Arial" w:hAnsi="Arial" w:cs="Arial"/>
                <w:color w:val="000000" w:themeColor="text1"/>
                <w:sz w:val="22"/>
              </w:rPr>
            </w:pPr>
          </w:p>
        </w:tc>
      </w:tr>
      <w:tr w14:paraId="04EF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2B992F98">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vAlign w:val="center"/>
          </w:tcPr>
          <w:p w14:paraId="48D758FF">
            <w:pPr>
              <w:rPr>
                <w:rFonts w:ascii="Arial" w:hAnsi="Arial" w:cs="Arial"/>
                <w:color w:val="000000" w:themeColor="text1"/>
                <w:sz w:val="22"/>
              </w:rPr>
            </w:pPr>
            <w:r>
              <w:rPr>
                <w:rFonts w:hint="eastAsia" w:ascii="Arial" w:hAnsi="宋体" w:cs="Arial"/>
                <w:color w:val="000000" w:themeColor="text1"/>
                <w:sz w:val="22"/>
              </w:rPr>
              <w:t>门机各机械部分的检查、清扫、注油（张力测量）</w:t>
            </w:r>
          </w:p>
        </w:tc>
        <w:tc>
          <w:tcPr>
            <w:tcW w:w="769" w:type="dxa"/>
            <w:vMerge w:val="continue"/>
            <w:tcBorders>
              <w:right w:val="single" w:color="auto" w:sz="12" w:space="0"/>
            </w:tcBorders>
            <w:vAlign w:val="center"/>
          </w:tcPr>
          <w:p w14:paraId="1A9BA20B">
            <w:pPr>
              <w:rPr>
                <w:rFonts w:ascii="Arial" w:hAnsi="Arial" w:cs="Arial"/>
                <w:color w:val="000000" w:themeColor="text1"/>
                <w:sz w:val="22"/>
              </w:rPr>
            </w:pPr>
          </w:p>
        </w:tc>
      </w:tr>
      <w:tr w14:paraId="7E6B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2A5D23F">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5</w:t>
            </w:r>
          </w:p>
        </w:tc>
        <w:tc>
          <w:tcPr>
            <w:tcW w:w="7042" w:type="dxa"/>
            <w:vAlign w:val="center"/>
          </w:tcPr>
          <w:p w14:paraId="45F9A740">
            <w:pPr>
              <w:rPr>
                <w:rFonts w:ascii="Arial" w:hAnsi="Arial" w:cs="Arial"/>
                <w:color w:val="000000" w:themeColor="text1"/>
                <w:sz w:val="22"/>
              </w:rPr>
            </w:pPr>
            <w:r>
              <w:rPr>
                <w:rFonts w:hint="eastAsia" w:ascii="Arial" w:hAnsi="宋体" w:cs="Arial"/>
                <w:color w:val="000000" w:themeColor="text1"/>
                <w:sz w:val="22"/>
              </w:rPr>
              <w:t>各导靴、安全钳装置清洗及间隙检查</w:t>
            </w:r>
          </w:p>
        </w:tc>
        <w:tc>
          <w:tcPr>
            <w:tcW w:w="769" w:type="dxa"/>
            <w:vMerge w:val="continue"/>
            <w:tcBorders>
              <w:right w:val="single" w:color="auto" w:sz="12" w:space="0"/>
            </w:tcBorders>
            <w:vAlign w:val="center"/>
          </w:tcPr>
          <w:p w14:paraId="3502CABC">
            <w:pPr>
              <w:rPr>
                <w:rFonts w:ascii="Arial" w:hAnsi="Arial" w:cs="Arial"/>
                <w:color w:val="000000" w:themeColor="text1"/>
                <w:sz w:val="22"/>
              </w:rPr>
            </w:pPr>
          </w:p>
        </w:tc>
      </w:tr>
      <w:tr w14:paraId="1487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1FB4AC76">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6</w:t>
            </w:r>
          </w:p>
        </w:tc>
        <w:tc>
          <w:tcPr>
            <w:tcW w:w="7042" w:type="dxa"/>
            <w:vAlign w:val="center"/>
          </w:tcPr>
          <w:p w14:paraId="60523860">
            <w:pPr>
              <w:rPr>
                <w:rFonts w:ascii="Arial" w:hAnsi="Arial" w:cs="Arial"/>
                <w:color w:val="000000" w:themeColor="text1"/>
                <w:sz w:val="22"/>
              </w:rPr>
            </w:pPr>
            <w:r>
              <w:rPr>
                <w:rFonts w:hint="eastAsia" w:ascii="Arial" w:hAnsi="宋体" w:cs="Arial"/>
                <w:color w:val="000000" w:themeColor="text1"/>
                <w:sz w:val="22"/>
              </w:rPr>
              <w:t>各钢丝绳磨损情况和张力均衡、伸长程序检查</w:t>
            </w:r>
          </w:p>
        </w:tc>
        <w:tc>
          <w:tcPr>
            <w:tcW w:w="769" w:type="dxa"/>
            <w:vMerge w:val="continue"/>
            <w:tcBorders>
              <w:right w:val="single" w:color="auto" w:sz="12" w:space="0"/>
            </w:tcBorders>
            <w:vAlign w:val="center"/>
          </w:tcPr>
          <w:p w14:paraId="7DA6A69D">
            <w:pPr>
              <w:rPr>
                <w:rFonts w:ascii="Arial" w:hAnsi="Arial" w:cs="Arial"/>
                <w:color w:val="000000" w:themeColor="text1"/>
                <w:sz w:val="22"/>
              </w:rPr>
            </w:pPr>
          </w:p>
        </w:tc>
      </w:tr>
      <w:tr w14:paraId="4D5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FAE21E9">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7</w:t>
            </w:r>
          </w:p>
        </w:tc>
        <w:tc>
          <w:tcPr>
            <w:tcW w:w="7042" w:type="dxa"/>
            <w:vAlign w:val="center"/>
          </w:tcPr>
          <w:p w14:paraId="7572A5C4">
            <w:pPr>
              <w:rPr>
                <w:rFonts w:ascii="Arial" w:hAnsi="Arial" w:cs="Arial"/>
                <w:color w:val="000000" w:themeColor="text1"/>
                <w:sz w:val="22"/>
              </w:rPr>
            </w:pPr>
            <w:r>
              <w:rPr>
                <w:rFonts w:hint="eastAsia" w:ascii="Arial" w:hAnsi="宋体" w:cs="Arial"/>
                <w:color w:val="000000" w:themeColor="text1"/>
                <w:sz w:val="22"/>
              </w:rPr>
              <w:t>安全钳于检修速度下行测试、效能确认、安全钳开关检查</w:t>
            </w:r>
          </w:p>
        </w:tc>
        <w:tc>
          <w:tcPr>
            <w:tcW w:w="769" w:type="dxa"/>
            <w:vMerge w:val="continue"/>
            <w:tcBorders>
              <w:right w:val="single" w:color="auto" w:sz="12" w:space="0"/>
            </w:tcBorders>
            <w:vAlign w:val="center"/>
          </w:tcPr>
          <w:p w14:paraId="1D753D8A">
            <w:pPr>
              <w:rPr>
                <w:rFonts w:ascii="Arial" w:hAnsi="Arial" w:cs="Arial"/>
                <w:color w:val="000000" w:themeColor="text1"/>
                <w:sz w:val="22"/>
              </w:rPr>
            </w:pPr>
          </w:p>
        </w:tc>
      </w:tr>
      <w:tr w14:paraId="45F4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4077F211">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8</w:t>
            </w:r>
          </w:p>
        </w:tc>
        <w:tc>
          <w:tcPr>
            <w:tcW w:w="7042" w:type="dxa"/>
            <w:tcBorders>
              <w:bottom w:val="single" w:color="auto" w:sz="12" w:space="0"/>
            </w:tcBorders>
            <w:vAlign w:val="center"/>
          </w:tcPr>
          <w:p w14:paraId="1DE1E4D5">
            <w:pPr>
              <w:rPr>
                <w:rFonts w:ascii="Arial" w:hAnsi="Arial" w:cs="Arial"/>
                <w:color w:val="000000" w:themeColor="text1"/>
                <w:sz w:val="22"/>
              </w:rPr>
            </w:pPr>
            <w:r>
              <w:rPr>
                <w:rFonts w:hint="eastAsia" w:ascii="Arial" w:hAnsi="宋体" w:cs="Arial"/>
                <w:color w:val="000000" w:themeColor="text1"/>
                <w:sz w:val="22"/>
              </w:rPr>
              <w:t>液压梯漏油情况检查及油管检查</w:t>
            </w:r>
          </w:p>
        </w:tc>
        <w:tc>
          <w:tcPr>
            <w:tcW w:w="769" w:type="dxa"/>
            <w:vMerge w:val="continue"/>
            <w:tcBorders>
              <w:bottom w:val="single" w:color="auto" w:sz="12" w:space="0"/>
              <w:right w:val="single" w:color="auto" w:sz="12" w:space="0"/>
            </w:tcBorders>
            <w:vAlign w:val="center"/>
          </w:tcPr>
          <w:p w14:paraId="3C79F6DE">
            <w:pPr>
              <w:rPr>
                <w:rFonts w:ascii="Arial" w:hAnsi="Arial" w:cs="Arial"/>
                <w:color w:val="000000" w:themeColor="text1"/>
                <w:sz w:val="22"/>
              </w:rPr>
            </w:pPr>
          </w:p>
        </w:tc>
      </w:tr>
      <w:tr w14:paraId="2E57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top w:val="single" w:color="auto" w:sz="12" w:space="0"/>
              <w:left w:val="single" w:color="auto" w:sz="12" w:space="0"/>
            </w:tcBorders>
            <w:vAlign w:val="center"/>
          </w:tcPr>
          <w:p w14:paraId="59BB515B">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1</w:t>
            </w:r>
          </w:p>
        </w:tc>
        <w:tc>
          <w:tcPr>
            <w:tcW w:w="7042" w:type="dxa"/>
            <w:tcBorders>
              <w:top w:val="single" w:color="auto" w:sz="12" w:space="0"/>
            </w:tcBorders>
            <w:vAlign w:val="center"/>
          </w:tcPr>
          <w:p w14:paraId="40E470B0">
            <w:pPr>
              <w:ind w:left="-33"/>
              <w:rPr>
                <w:rFonts w:ascii="Arial" w:hAnsi="Arial" w:cs="Arial"/>
                <w:color w:val="000000" w:themeColor="text1"/>
                <w:sz w:val="22"/>
              </w:rPr>
            </w:pPr>
            <w:r>
              <w:rPr>
                <w:rFonts w:hint="eastAsia" w:ascii="Arial" w:hAnsi="宋体" w:cs="Arial"/>
                <w:color w:val="000000" w:themeColor="text1"/>
                <w:sz w:val="22"/>
              </w:rPr>
              <w:t>曳引力、（载重量）行车速度、平层误差、补偿装置等测量及检查</w:t>
            </w:r>
          </w:p>
        </w:tc>
        <w:tc>
          <w:tcPr>
            <w:tcW w:w="769" w:type="dxa"/>
            <w:vMerge w:val="restart"/>
            <w:tcBorders>
              <w:top w:val="single" w:color="auto" w:sz="12" w:space="0"/>
              <w:right w:val="single" w:color="auto" w:sz="12" w:space="0"/>
            </w:tcBorders>
            <w:vAlign w:val="center"/>
          </w:tcPr>
          <w:p w14:paraId="00E3AC1D">
            <w:pPr>
              <w:rPr>
                <w:rFonts w:ascii="Arial" w:hAnsi="Arial" w:cs="Arial"/>
                <w:color w:val="000000" w:themeColor="text1"/>
                <w:sz w:val="22"/>
              </w:rPr>
            </w:pPr>
            <w:r>
              <w:rPr>
                <w:rFonts w:ascii="Arial" w:hAnsi="Arial" w:cs="Arial"/>
                <w:color w:val="000000" w:themeColor="text1"/>
                <w:sz w:val="22"/>
              </w:rPr>
              <w:t>1</w:t>
            </w:r>
            <w:r>
              <w:rPr>
                <w:rFonts w:hint="eastAsia" w:ascii="Arial" w:hAnsi="Arial" w:cs="Arial"/>
                <w:color w:val="000000" w:themeColor="text1"/>
                <w:sz w:val="22"/>
              </w:rPr>
              <w:t>年</w:t>
            </w:r>
          </w:p>
        </w:tc>
      </w:tr>
      <w:tr w14:paraId="54FD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3206C879">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2</w:t>
            </w:r>
          </w:p>
        </w:tc>
        <w:tc>
          <w:tcPr>
            <w:tcW w:w="7042" w:type="dxa"/>
            <w:vAlign w:val="center"/>
          </w:tcPr>
          <w:p w14:paraId="701F5716">
            <w:pPr>
              <w:ind w:left="-33"/>
              <w:rPr>
                <w:rFonts w:ascii="Arial" w:hAnsi="Arial" w:cs="Arial"/>
                <w:color w:val="000000" w:themeColor="text1"/>
                <w:sz w:val="22"/>
              </w:rPr>
            </w:pPr>
            <w:r>
              <w:rPr>
                <w:rFonts w:hint="eastAsia" w:ascii="Arial" w:hAnsi="宋体" w:cs="Arial"/>
                <w:color w:val="000000" w:themeColor="text1"/>
                <w:sz w:val="22"/>
              </w:rPr>
              <w:t>控制屏控制屏各接线柱螺丝紧固</w:t>
            </w:r>
          </w:p>
        </w:tc>
        <w:tc>
          <w:tcPr>
            <w:tcW w:w="769" w:type="dxa"/>
            <w:vMerge w:val="continue"/>
            <w:tcBorders>
              <w:right w:val="single" w:color="auto" w:sz="12" w:space="0"/>
            </w:tcBorders>
            <w:vAlign w:val="center"/>
          </w:tcPr>
          <w:p w14:paraId="137C5A8F">
            <w:pPr>
              <w:pStyle w:val="20"/>
              <w:ind w:firstLine="2160"/>
              <w:rPr>
                <w:rFonts w:ascii="Arial" w:hAnsi="Arial" w:cs="Arial"/>
                <w:color w:val="000000" w:themeColor="text1"/>
                <w:sz w:val="22"/>
                <w:szCs w:val="22"/>
              </w:rPr>
            </w:pPr>
          </w:p>
        </w:tc>
      </w:tr>
      <w:tr w14:paraId="57B8C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17F67259">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3</w:t>
            </w:r>
          </w:p>
        </w:tc>
        <w:tc>
          <w:tcPr>
            <w:tcW w:w="7042" w:type="dxa"/>
            <w:vAlign w:val="center"/>
          </w:tcPr>
          <w:p w14:paraId="3D5C8A76">
            <w:pPr>
              <w:ind w:left="-33"/>
              <w:rPr>
                <w:rFonts w:ascii="Arial" w:hAnsi="Arial" w:cs="Arial"/>
                <w:color w:val="000000" w:themeColor="text1"/>
                <w:sz w:val="22"/>
              </w:rPr>
            </w:pPr>
            <w:r>
              <w:rPr>
                <w:rFonts w:hint="eastAsia" w:ascii="Arial" w:hAnsi="宋体" w:cs="Arial"/>
                <w:color w:val="000000" w:themeColor="text1"/>
                <w:sz w:val="22"/>
              </w:rPr>
              <w:t>主电缆、补偿链检查</w:t>
            </w:r>
          </w:p>
        </w:tc>
        <w:tc>
          <w:tcPr>
            <w:tcW w:w="769" w:type="dxa"/>
            <w:vMerge w:val="continue"/>
            <w:tcBorders>
              <w:right w:val="single" w:color="auto" w:sz="12" w:space="0"/>
            </w:tcBorders>
            <w:vAlign w:val="center"/>
          </w:tcPr>
          <w:p w14:paraId="521FE2E1">
            <w:pPr>
              <w:pStyle w:val="20"/>
              <w:ind w:firstLine="2160"/>
              <w:rPr>
                <w:rFonts w:ascii="Arial" w:hAnsi="Arial" w:cs="Arial"/>
                <w:color w:val="000000" w:themeColor="text1"/>
                <w:sz w:val="22"/>
                <w:szCs w:val="22"/>
              </w:rPr>
            </w:pPr>
          </w:p>
        </w:tc>
      </w:tr>
      <w:tr w14:paraId="5263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23D12460">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4</w:t>
            </w:r>
          </w:p>
        </w:tc>
        <w:tc>
          <w:tcPr>
            <w:tcW w:w="7042" w:type="dxa"/>
            <w:vAlign w:val="center"/>
          </w:tcPr>
          <w:p w14:paraId="5590725C">
            <w:pPr>
              <w:ind w:left="-33"/>
              <w:rPr>
                <w:rFonts w:ascii="Arial" w:hAnsi="Arial" w:cs="Arial"/>
                <w:color w:val="000000" w:themeColor="text1"/>
                <w:sz w:val="22"/>
              </w:rPr>
            </w:pPr>
            <w:r>
              <w:rPr>
                <w:rFonts w:hint="eastAsia" w:ascii="Arial" w:hAnsi="宋体" w:cs="Arial"/>
                <w:color w:val="000000" w:themeColor="text1"/>
                <w:sz w:val="22"/>
              </w:rPr>
              <w:t>中间接线箱、轿厢接线盒线柱螺丝紧固</w:t>
            </w:r>
          </w:p>
        </w:tc>
        <w:tc>
          <w:tcPr>
            <w:tcW w:w="769" w:type="dxa"/>
            <w:vMerge w:val="continue"/>
            <w:tcBorders>
              <w:right w:val="single" w:color="auto" w:sz="12" w:space="0"/>
            </w:tcBorders>
            <w:vAlign w:val="center"/>
          </w:tcPr>
          <w:p w14:paraId="34922AAE">
            <w:pPr>
              <w:pStyle w:val="20"/>
              <w:ind w:firstLine="2160"/>
              <w:rPr>
                <w:rFonts w:ascii="Arial" w:hAnsi="Arial" w:cs="Arial"/>
                <w:color w:val="000000" w:themeColor="text1"/>
                <w:sz w:val="22"/>
                <w:szCs w:val="22"/>
              </w:rPr>
            </w:pPr>
          </w:p>
        </w:tc>
      </w:tr>
      <w:tr w14:paraId="77EB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37C52DA5">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5</w:t>
            </w:r>
          </w:p>
        </w:tc>
        <w:tc>
          <w:tcPr>
            <w:tcW w:w="7042" w:type="dxa"/>
            <w:vAlign w:val="center"/>
          </w:tcPr>
          <w:p w14:paraId="156E3228">
            <w:pPr>
              <w:ind w:left="-33"/>
              <w:rPr>
                <w:rFonts w:ascii="Arial" w:hAnsi="Arial" w:cs="Arial"/>
                <w:color w:val="000000" w:themeColor="text1"/>
                <w:sz w:val="22"/>
              </w:rPr>
            </w:pPr>
            <w:r>
              <w:rPr>
                <w:rFonts w:hint="eastAsia" w:ascii="Arial" w:hAnsi="宋体" w:cs="Arial"/>
                <w:color w:val="000000" w:themeColor="text1"/>
                <w:sz w:val="22"/>
              </w:rPr>
              <w:t>底坑油压缓冲器清洗、换油有效动作确认</w:t>
            </w:r>
          </w:p>
        </w:tc>
        <w:tc>
          <w:tcPr>
            <w:tcW w:w="769" w:type="dxa"/>
            <w:vMerge w:val="continue"/>
            <w:tcBorders>
              <w:right w:val="single" w:color="auto" w:sz="12" w:space="0"/>
            </w:tcBorders>
            <w:vAlign w:val="center"/>
          </w:tcPr>
          <w:p w14:paraId="1BF463BD">
            <w:pPr>
              <w:pStyle w:val="20"/>
              <w:ind w:firstLine="2160"/>
              <w:rPr>
                <w:rFonts w:ascii="Arial" w:hAnsi="Arial" w:cs="Arial"/>
                <w:color w:val="000000" w:themeColor="text1"/>
                <w:sz w:val="22"/>
                <w:szCs w:val="22"/>
              </w:rPr>
            </w:pPr>
          </w:p>
        </w:tc>
      </w:tr>
      <w:tr w14:paraId="6B4F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654D9BE">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6</w:t>
            </w:r>
          </w:p>
        </w:tc>
        <w:tc>
          <w:tcPr>
            <w:tcW w:w="7042" w:type="dxa"/>
            <w:vAlign w:val="center"/>
          </w:tcPr>
          <w:p w14:paraId="38B3A9E4">
            <w:pPr>
              <w:ind w:left="-33"/>
              <w:rPr>
                <w:rFonts w:ascii="Arial" w:hAnsi="Arial" w:cs="Arial"/>
                <w:color w:val="000000" w:themeColor="text1"/>
                <w:sz w:val="22"/>
              </w:rPr>
            </w:pPr>
            <w:r>
              <w:rPr>
                <w:rFonts w:hint="eastAsia" w:ascii="Arial" w:hAnsi="宋体" w:cs="Arial"/>
                <w:color w:val="000000" w:themeColor="text1"/>
                <w:sz w:val="22"/>
              </w:rPr>
              <w:t>底坑、井道卫生大检查</w:t>
            </w:r>
          </w:p>
        </w:tc>
        <w:tc>
          <w:tcPr>
            <w:tcW w:w="769" w:type="dxa"/>
            <w:vMerge w:val="continue"/>
            <w:tcBorders>
              <w:right w:val="single" w:color="auto" w:sz="12" w:space="0"/>
            </w:tcBorders>
            <w:vAlign w:val="center"/>
          </w:tcPr>
          <w:p w14:paraId="7CA2973D">
            <w:pPr>
              <w:pStyle w:val="20"/>
              <w:ind w:firstLine="2160"/>
              <w:rPr>
                <w:rFonts w:ascii="Arial" w:hAnsi="Arial" w:cs="Arial"/>
                <w:color w:val="000000" w:themeColor="text1"/>
                <w:sz w:val="22"/>
                <w:szCs w:val="22"/>
              </w:rPr>
            </w:pPr>
          </w:p>
        </w:tc>
      </w:tr>
      <w:tr w14:paraId="18F2E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7B753C59">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7</w:t>
            </w:r>
          </w:p>
        </w:tc>
        <w:tc>
          <w:tcPr>
            <w:tcW w:w="7042" w:type="dxa"/>
            <w:vAlign w:val="center"/>
          </w:tcPr>
          <w:p w14:paraId="4B34E817">
            <w:pPr>
              <w:ind w:left="-33"/>
              <w:rPr>
                <w:rFonts w:ascii="Arial" w:hAnsi="Arial" w:cs="Arial"/>
                <w:color w:val="000000" w:themeColor="text1"/>
                <w:sz w:val="22"/>
              </w:rPr>
            </w:pPr>
            <w:r>
              <w:rPr>
                <w:rFonts w:hint="eastAsia" w:ascii="Arial" w:hAnsi="宋体" w:cs="Arial"/>
                <w:color w:val="000000" w:themeColor="text1"/>
                <w:sz w:val="22"/>
              </w:rPr>
              <w:t>劳动局复检前自检工作（电梯周年大检查）</w:t>
            </w:r>
          </w:p>
        </w:tc>
        <w:tc>
          <w:tcPr>
            <w:tcW w:w="769" w:type="dxa"/>
            <w:vMerge w:val="continue"/>
            <w:tcBorders>
              <w:right w:val="single" w:color="auto" w:sz="12" w:space="0"/>
            </w:tcBorders>
            <w:vAlign w:val="center"/>
          </w:tcPr>
          <w:p w14:paraId="41228D4D">
            <w:pPr>
              <w:pStyle w:val="20"/>
              <w:ind w:firstLine="2160"/>
              <w:rPr>
                <w:rFonts w:ascii="Arial" w:hAnsi="Arial" w:cs="Arial"/>
                <w:color w:val="000000" w:themeColor="text1"/>
                <w:sz w:val="22"/>
                <w:szCs w:val="22"/>
              </w:rPr>
            </w:pPr>
          </w:p>
        </w:tc>
      </w:tr>
      <w:tr w14:paraId="552E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tcBorders>
            <w:vAlign w:val="center"/>
          </w:tcPr>
          <w:p w14:paraId="013F50FF">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8</w:t>
            </w:r>
          </w:p>
        </w:tc>
        <w:tc>
          <w:tcPr>
            <w:tcW w:w="7042" w:type="dxa"/>
            <w:vAlign w:val="center"/>
          </w:tcPr>
          <w:p w14:paraId="417C64A7">
            <w:pPr>
              <w:ind w:left="-33"/>
              <w:rPr>
                <w:rFonts w:ascii="Arial" w:hAnsi="Arial" w:cs="Arial"/>
                <w:color w:val="000000" w:themeColor="text1"/>
                <w:sz w:val="22"/>
              </w:rPr>
            </w:pPr>
            <w:r>
              <w:rPr>
                <w:rFonts w:hint="eastAsia" w:ascii="Arial" w:hAnsi="宋体" w:cs="Arial"/>
                <w:color w:val="000000" w:themeColor="text1"/>
                <w:sz w:val="22"/>
              </w:rPr>
              <w:t>所有计算机调校工作重做一次</w:t>
            </w:r>
          </w:p>
        </w:tc>
        <w:tc>
          <w:tcPr>
            <w:tcW w:w="769" w:type="dxa"/>
            <w:vMerge w:val="continue"/>
            <w:tcBorders>
              <w:right w:val="single" w:color="auto" w:sz="12" w:space="0"/>
            </w:tcBorders>
            <w:vAlign w:val="center"/>
          </w:tcPr>
          <w:p w14:paraId="3389C46D">
            <w:pPr>
              <w:pStyle w:val="20"/>
              <w:ind w:firstLine="2160"/>
              <w:rPr>
                <w:rFonts w:ascii="Arial" w:hAnsi="Arial" w:cs="Arial"/>
                <w:color w:val="000000" w:themeColor="text1"/>
                <w:sz w:val="22"/>
                <w:szCs w:val="22"/>
              </w:rPr>
            </w:pPr>
          </w:p>
        </w:tc>
      </w:tr>
      <w:tr w14:paraId="1E1A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45" w:type="dxa"/>
            <w:tcBorders>
              <w:left w:val="single" w:color="auto" w:sz="12" w:space="0"/>
              <w:bottom w:val="single" w:color="auto" w:sz="12" w:space="0"/>
            </w:tcBorders>
            <w:vAlign w:val="center"/>
          </w:tcPr>
          <w:p w14:paraId="5C9693DC">
            <w:pPr>
              <w:pStyle w:val="20"/>
              <w:ind w:left="10" w:leftChars="5" w:firstLine="1"/>
              <w:jc w:val="center"/>
              <w:rPr>
                <w:rFonts w:ascii="Arial" w:hAnsi="宋体" w:cs="Arial"/>
                <w:color w:val="000000" w:themeColor="text1"/>
                <w:sz w:val="22"/>
                <w:szCs w:val="22"/>
              </w:rPr>
            </w:pPr>
            <w:r>
              <w:rPr>
                <w:rFonts w:hint="eastAsia" w:ascii="Arial" w:hAnsi="宋体" w:cs="Arial"/>
                <w:color w:val="000000" w:themeColor="text1"/>
                <w:sz w:val="22"/>
                <w:szCs w:val="22"/>
              </w:rPr>
              <w:t>9</w:t>
            </w:r>
          </w:p>
        </w:tc>
        <w:tc>
          <w:tcPr>
            <w:tcW w:w="7042" w:type="dxa"/>
            <w:tcBorders>
              <w:bottom w:val="single" w:color="auto" w:sz="12" w:space="0"/>
            </w:tcBorders>
            <w:vAlign w:val="center"/>
          </w:tcPr>
          <w:p w14:paraId="674C21F4">
            <w:pPr>
              <w:ind w:left="-33"/>
              <w:rPr>
                <w:rFonts w:ascii="Arial" w:hAnsi="Arial" w:cs="Arial"/>
                <w:color w:val="000000" w:themeColor="text1"/>
                <w:sz w:val="22"/>
              </w:rPr>
            </w:pPr>
            <w:r>
              <w:rPr>
                <w:rFonts w:hint="eastAsia" w:ascii="Arial" w:hAnsi="宋体" w:cs="Arial"/>
                <w:color w:val="000000" w:themeColor="text1"/>
                <w:sz w:val="22"/>
              </w:rPr>
              <w:t>清洗油阀、检查及调校油压压力</w:t>
            </w:r>
          </w:p>
        </w:tc>
        <w:tc>
          <w:tcPr>
            <w:tcW w:w="769" w:type="dxa"/>
            <w:vMerge w:val="continue"/>
            <w:tcBorders>
              <w:bottom w:val="single" w:color="auto" w:sz="12" w:space="0"/>
              <w:right w:val="single" w:color="auto" w:sz="12" w:space="0"/>
            </w:tcBorders>
            <w:vAlign w:val="center"/>
          </w:tcPr>
          <w:p w14:paraId="1721E641">
            <w:pPr>
              <w:pStyle w:val="20"/>
              <w:ind w:firstLine="2160"/>
              <w:rPr>
                <w:rFonts w:ascii="Arial" w:hAnsi="Arial" w:cs="Arial"/>
                <w:color w:val="000000" w:themeColor="text1"/>
                <w:sz w:val="22"/>
                <w:szCs w:val="22"/>
              </w:rPr>
            </w:pPr>
          </w:p>
        </w:tc>
      </w:tr>
      <w:bookmarkEnd w:id="2"/>
    </w:tbl>
    <w:p w14:paraId="25C7E3F3">
      <w:pPr>
        <w:snapToGrid w:val="0"/>
        <w:spacing w:line="44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五、采购需求中必须满足的实质性要求：</w:t>
      </w:r>
    </w:p>
    <w:p w14:paraId="1085BDBE">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1、维保中更换零部件，单件且单次价值低于200元（含）的配件由维保单位免费提供。</w:t>
      </w:r>
    </w:p>
    <w:p w14:paraId="1C5B4C05">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2、维保中更换零部件，单件且单次价值高于200元的配件，经采购方确认其价值后，采购方另行支付配件费或自行采购，维保单位免费安装。</w:t>
      </w:r>
    </w:p>
    <w:p w14:paraId="6F476C3B">
      <w:pPr>
        <w:adjustRightInd w:val="0"/>
        <w:snapToGrid w:val="0"/>
        <w:spacing w:line="46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cs="宋体"/>
          <w:sz w:val="28"/>
          <w:szCs w:val="28"/>
          <w:lang w:val="en-US" w:eastAsia="zh-CN"/>
        </w:rPr>
        <w:t>3、维保中更换零部件的单价必须为批发价，若采购方发现价格高</w:t>
      </w:r>
      <w:r>
        <w:rPr>
          <w:rFonts w:hint="eastAsia" w:ascii="宋体" w:hAnsi="宋体" w:eastAsia="宋体" w:cs="宋体"/>
          <w:b w:val="0"/>
          <w:bCs w:val="0"/>
          <w:kern w:val="2"/>
          <w:sz w:val="28"/>
          <w:szCs w:val="28"/>
          <w:lang w:val="en-US" w:eastAsia="zh-CN" w:bidi="ar-SA"/>
        </w:rPr>
        <w:t>于市场平均价，采购方有权在合同价款中直接扣除差额。</w:t>
      </w:r>
    </w:p>
    <w:p w14:paraId="19985AB3">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4、维保中更换的零部件，维保单位报采购方确认后方可自行采购、使用，须使用符合国家标准的合格产品，安装更换前应得到采购方的许可，否则不得进场使用，材料需提供质保书或出厂合格证，并已通过有关必要的检验或试验。</w:t>
      </w:r>
    </w:p>
    <w:p w14:paraId="55098845">
      <w:pPr>
        <w:snapToGrid w:val="0"/>
        <w:spacing w:line="44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六、服务期限</w:t>
      </w:r>
    </w:p>
    <w:p w14:paraId="0144F436">
      <w:pPr>
        <w:widowControl/>
        <w:spacing w:line="460" w:lineRule="exact"/>
        <w:ind w:firstLine="560"/>
        <w:rPr>
          <w:rFonts w:hint="eastAsia" w:ascii="宋体" w:hAnsi="宋体" w:cs="宋体"/>
          <w:color w:val="0000FF"/>
          <w:sz w:val="28"/>
          <w:szCs w:val="28"/>
        </w:rPr>
      </w:pPr>
      <w:r>
        <w:rPr>
          <w:rFonts w:hint="eastAsia" w:ascii="宋体" w:hAnsi="宋体" w:eastAsia="宋体" w:cs="宋体"/>
          <w:sz w:val="28"/>
          <w:szCs w:val="28"/>
          <w:lang w:eastAsia="zh-CN"/>
        </w:rPr>
        <w:t>自合同签订之日起一年。本次招标服务费为一年费用，合同一年一签。中标人在合同期内服务质量好，经考核合格，在价格等所有条款不发生变化的情况下，可以采取1+N年［N≤2］方式续签合同，续签合同一年一签。</w:t>
      </w:r>
    </w:p>
    <w:p w14:paraId="043BDE99">
      <w:pPr>
        <w:snapToGrid w:val="0"/>
        <w:spacing w:line="440" w:lineRule="exact"/>
        <w:ind w:firstLine="590" w:firstLineChars="200"/>
        <w:rPr>
          <w:rFonts w:hint="eastAsia" w:ascii="宋体" w:hAnsi="宋体" w:cs="宋体"/>
          <w:b/>
          <w:spacing w:val="7"/>
          <w:kern w:val="0"/>
          <w:sz w:val="28"/>
          <w:szCs w:val="28"/>
          <w:lang w:val="zh-CN" w:eastAsia="zh-CN"/>
        </w:rPr>
      </w:pPr>
      <w:r>
        <w:rPr>
          <w:rFonts w:hint="eastAsia" w:ascii="宋体" w:hAnsi="宋体" w:cs="宋体"/>
          <w:b/>
          <w:spacing w:val="7"/>
          <w:kern w:val="0"/>
          <w:sz w:val="28"/>
          <w:szCs w:val="28"/>
          <w:lang w:val="zh-CN" w:eastAsia="zh-CN"/>
        </w:rPr>
        <w:t>七、付款方式：</w:t>
      </w:r>
    </w:p>
    <w:p w14:paraId="5DE3AF30">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1.在合同签订后半年支付合同总额50%，一年到期后支付剩余50%。</w:t>
      </w:r>
    </w:p>
    <w:p w14:paraId="65A9EDDE">
      <w:pPr>
        <w:adjustRightInd w:val="0"/>
        <w:snapToGrid w:val="0"/>
        <w:spacing w:line="460" w:lineRule="exact"/>
        <w:ind w:firstLine="560" w:firstLineChars="200"/>
        <w:rPr>
          <w:rFonts w:hint="eastAsia"/>
        </w:rPr>
      </w:pPr>
      <w:r>
        <w:rPr>
          <w:rFonts w:hint="eastAsia" w:ascii="宋体" w:hAnsi="宋体" w:cs="宋体"/>
          <w:sz w:val="28"/>
          <w:szCs w:val="28"/>
          <w:lang w:val="en-US" w:eastAsia="zh-CN"/>
        </w:rPr>
        <w:t>2.若在付款周期内电梯需要年检的，电梯必须通过相关部门的检验合格。</w:t>
      </w:r>
    </w:p>
    <w:p w14:paraId="754DB3D8">
      <w:pPr>
        <w:pStyle w:val="212"/>
        <w:rPr>
          <w:rFonts w:hint="eastAsia"/>
        </w:rPr>
      </w:pPr>
    </w:p>
    <w:p w14:paraId="1A35E9B9">
      <w:pPr>
        <w:pStyle w:val="154"/>
        <w:spacing w:before="312" w:after="312" w:line="320" w:lineRule="atLeast"/>
        <w:rPr>
          <w:rFonts w:hint="eastAsia" w:ascii="宋体" w:eastAsia="宋体" w:cs="宋体"/>
          <w:color w:val="000000" w:themeColor="text1"/>
          <w:sz w:val="36"/>
          <w:szCs w:val="36"/>
          <w:lang w:eastAsia="zh-CN"/>
        </w:rPr>
      </w:pPr>
      <w:r>
        <w:rPr>
          <w:rFonts w:hint="eastAsia" w:ascii="宋体" w:eastAsia="宋体" w:cs="宋体"/>
          <w:color w:val="000000" w:themeColor="text1"/>
          <w:sz w:val="36"/>
          <w:szCs w:val="36"/>
          <w:lang w:eastAsia="zh-CN"/>
        </w:rPr>
        <w:t>第四章</w:t>
      </w:r>
      <w:r>
        <w:rPr>
          <w:rFonts w:hint="eastAsia" w:ascii="宋体" w:eastAsia="宋体" w:cs="宋体"/>
          <w:color w:val="000000" w:themeColor="text1"/>
          <w:sz w:val="36"/>
          <w:szCs w:val="36"/>
          <w:lang w:val="en-US" w:eastAsia="zh-CN"/>
        </w:rPr>
        <w:t xml:space="preserve"> </w:t>
      </w:r>
      <w:r>
        <w:rPr>
          <w:rFonts w:hint="eastAsia" w:ascii="宋体" w:eastAsia="宋体" w:cs="宋体"/>
          <w:color w:val="000000" w:themeColor="text1"/>
          <w:sz w:val="36"/>
          <w:szCs w:val="36"/>
          <w:lang w:eastAsia="zh-CN"/>
        </w:rPr>
        <w:t>评审方法和程序</w:t>
      </w:r>
    </w:p>
    <w:p w14:paraId="19869554">
      <w:pPr>
        <w:tabs>
          <w:tab w:val="left" w:pos="3585"/>
        </w:tabs>
        <w:snapToGrid w:val="0"/>
        <w:spacing w:line="460" w:lineRule="exact"/>
        <w:ind w:firstLine="562" w:firstLineChars="200"/>
        <w:rPr>
          <w:rFonts w:hint="eastAsia"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采购人组织评审</w:t>
      </w:r>
    </w:p>
    <w:p w14:paraId="7C016E9A">
      <w:pPr>
        <w:adjustRightInd w:val="0"/>
        <w:snapToGrid w:val="0"/>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参选人的法定代表人或授权人须持有效身份证参加比选会议。</w:t>
      </w:r>
    </w:p>
    <w:p w14:paraId="0C6F8595">
      <w:pPr>
        <w:snapToGrid w:val="0"/>
        <w:spacing w:line="460" w:lineRule="exact"/>
        <w:ind w:firstLine="562" w:firstLineChars="200"/>
        <w:rPr>
          <w:rFonts w:hint="eastAsia"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评审。</w:t>
      </w:r>
    </w:p>
    <w:p w14:paraId="2A063BA4">
      <w:pPr>
        <w:tabs>
          <w:tab w:val="left" w:pos="358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由采购人代表对参选人资格性、符合性审查，对未通过审查的</w:t>
      </w:r>
      <w:r>
        <w:rPr>
          <w:rFonts w:hint="eastAsia" w:hAnsi="宋体" w:cs="宋体"/>
          <w:sz w:val="28"/>
          <w:szCs w:val="28"/>
          <w:lang w:eastAsia="zh-CN"/>
        </w:rPr>
        <w:t>参选人</w:t>
      </w:r>
      <w:r>
        <w:rPr>
          <w:rFonts w:hint="eastAsia" w:ascii="宋体" w:hAnsi="宋体" w:cs="宋体"/>
          <w:sz w:val="28"/>
          <w:szCs w:val="28"/>
        </w:rPr>
        <w:t>，应现场告知原因。评委会对合格</w:t>
      </w:r>
      <w:r>
        <w:rPr>
          <w:rFonts w:hint="eastAsia" w:hAnsi="宋体" w:cs="宋体"/>
          <w:sz w:val="28"/>
          <w:szCs w:val="28"/>
          <w:lang w:eastAsia="zh-CN"/>
        </w:rPr>
        <w:t>参选人</w:t>
      </w:r>
      <w:r>
        <w:rPr>
          <w:rFonts w:hint="eastAsia" w:ascii="宋体" w:hAnsi="宋体" w:cs="宋体"/>
          <w:sz w:val="28"/>
          <w:szCs w:val="28"/>
        </w:rPr>
        <w:t>的参选文件进行评审。</w:t>
      </w:r>
    </w:p>
    <w:p w14:paraId="2DC1DB05">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（一）评审内容</w:t>
      </w:r>
    </w:p>
    <w:p w14:paraId="1DC51921">
      <w:pPr>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1.比选资格是否符合</w:t>
      </w:r>
      <w:r>
        <w:rPr>
          <w:rFonts w:hint="eastAsia" w:hAnsi="宋体" w:cs="宋体"/>
          <w:sz w:val="28"/>
          <w:szCs w:val="28"/>
          <w:lang w:eastAsia="zh-CN"/>
        </w:rPr>
        <w:t>；</w:t>
      </w:r>
    </w:p>
    <w:p w14:paraId="140CFEF0">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2.参选文件是否完整；</w:t>
      </w:r>
    </w:p>
    <w:p w14:paraId="0F709B24">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3.参选文件是否恰当地签署；</w:t>
      </w:r>
    </w:p>
    <w:p w14:paraId="50C5F689">
      <w:pPr>
        <w:snapToGrid w:val="0"/>
        <w:spacing w:line="460" w:lineRule="exact"/>
        <w:ind w:firstLine="560" w:firstLineChars="200"/>
        <w:rPr>
          <w:rFonts w:hint="eastAsia" w:ascii="宋体" w:hAnsi="宋体" w:cs="宋体"/>
          <w:b w:val="0"/>
          <w:bCs w:val="0"/>
          <w:sz w:val="28"/>
          <w:szCs w:val="28"/>
        </w:rPr>
      </w:pPr>
      <w:r>
        <w:rPr>
          <w:rFonts w:hint="eastAsia" w:ascii="宋体" w:hAnsi="宋体" w:cs="宋体"/>
          <w:sz w:val="28"/>
          <w:szCs w:val="28"/>
        </w:rPr>
        <w:t>4.是否作出实质性响应</w:t>
      </w:r>
      <w:r>
        <w:rPr>
          <w:rFonts w:hint="eastAsia" w:ascii="宋体" w:hAnsi="宋体" w:cs="宋体"/>
          <w:b w:val="0"/>
          <w:bCs w:val="0"/>
          <w:sz w:val="28"/>
          <w:szCs w:val="28"/>
        </w:rPr>
        <w:t>（是否有实质性响应，只根据参选文件本身，而不寻求外部证据）；</w:t>
      </w:r>
    </w:p>
    <w:p w14:paraId="2CD3C1EF">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5.是否有计算错误。</w:t>
      </w:r>
    </w:p>
    <w:p w14:paraId="379A3AE7">
      <w:pPr>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（二）相应的规定</w:t>
      </w:r>
    </w:p>
    <w:p w14:paraId="4ACBE032">
      <w:pPr>
        <w:snapToGrid w:val="0"/>
        <w:spacing w:line="460" w:lineRule="exact"/>
        <w:ind w:firstLine="560" w:firstLineChars="200"/>
        <w:rPr>
          <w:rFonts w:hint="eastAsia"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14:paraId="4DCFA040">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2.单价金额小数点有明显错位的，应以总价为准；</w:t>
      </w:r>
    </w:p>
    <w:p w14:paraId="475FC7EE">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3.正本与副本有矛盾的，以正本为准；</w:t>
      </w:r>
    </w:p>
    <w:p w14:paraId="237C8B31">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4.若文件大写表示的数据与数字表示的有差别，以大写表示的数据为准。</w:t>
      </w:r>
    </w:p>
    <w:p w14:paraId="0B31F7BA">
      <w:pPr>
        <w:tabs>
          <w:tab w:val="left" w:pos="3585"/>
        </w:tabs>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14:paraId="09C260BD">
      <w:pPr>
        <w:snapToGrid w:val="0"/>
        <w:spacing w:line="460" w:lineRule="exact"/>
        <w:ind w:firstLine="560" w:firstLineChars="200"/>
        <w:rPr>
          <w:rFonts w:hint="eastAsia" w:ascii="宋体" w:hAnsi="宋体" w:cs="宋体"/>
          <w:b/>
          <w:sz w:val="28"/>
          <w:szCs w:val="28"/>
        </w:rPr>
      </w:pPr>
      <w:r>
        <w:rPr>
          <w:rFonts w:hint="eastAsia" w:ascii="宋体" w:hAnsi="宋体" w:cs="宋体"/>
          <w:sz w:val="28"/>
          <w:szCs w:val="28"/>
          <w:shd w:val="clear" w:color="auto" w:fill="FFFFFF"/>
        </w:rPr>
        <w:t>1.如评委会认为有必要，</w:t>
      </w:r>
      <w:r>
        <w:rPr>
          <w:rFonts w:hint="eastAsia" w:ascii="宋体" w:hAnsi="宋体" w:cs="宋体"/>
          <w:sz w:val="28"/>
          <w:szCs w:val="28"/>
        </w:rPr>
        <w:t>参选</w:t>
      </w:r>
      <w:r>
        <w:rPr>
          <w:rFonts w:hint="eastAsia" w:ascii="宋体" w:hAnsi="宋体" w:cs="宋体"/>
          <w:sz w:val="28"/>
          <w:szCs w:val="28"/>
          <w:shd w:val="clear" w:color="auto" w:fill="FFFFFF"/>
        </w:rPr>
        <w:t>人按评委会的要求作陈述、演示、</w:t>
      </w:r>
      <w:r>
        <w:rPr>
          <w:rFonts w:hint="eastAsia" w:ascii="宋体" w:hAnsi="宋体" w:cs="宋体"/>
          <w:sz w:val="28"/>
          <w:szCs w:val="28"/>
        </w:rPr>
        <w:t>答疑及澄清其参选内容。时间由评委会掌握。</w:t>
      </w:r>
    </w:p>
    <w:p w14:paraId="4F32E5F9">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2.重要澄清答复应是书面的，但不得对比选内容进行实质性修改。</w:t>
      </w:r>
    </w:p>
    <w:p w14:paraId="67C0FFC6">
      <w:pPr>
        <w:tabs>
          <w:tab w:val="left" w:pos="6555"/>
          <w:tab w:val="right" w:pos="8306"/>
        </w:tabs>
        <w:snapToGrid w:val="0"/>
        <w:spacing w:line="460" w:lineRule="exact"/>
        <w:ind w:firstLine="560" w:firstLineChars="200"/>
        <w:rPr>
          <w:rFonts w:hint="eastAsia" w:ascii="宋体" w:hAnsi="宋体" w:cs="宋体"/>
          <w:b w:val="0"/>
          <w:bCs/>
          <w:sz w:val="28"/>
          <w:szCs w:val="28"/>
        </w:rPr>
      </w:pPr>
      <w:r>
        <w:rPr>
          <w:rFonts w:hint="eastAsia" w:ascii="宋体" w:hAnsi="宋体" w:cs="宋体"/>
          <w:b w:val="0"/>
          <w:bCs/>
          <w:sz w:val="28"/>
          <w:szCs w:val="28"/>
        </w:rPr>
        <w:t>3.对采购过程提出质询的，为各采购程序环节结束之日；</w:t>
      </w:r>
    </w:p>
    <w:p w14:paraId="5429236E">
      <w:pPr>
        <w:tabs>
          <w:tab w:val="left" w:pos="6555"/>
          <w:tab w:val="right" w:pos="8306"/>
        </w:tabs>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其中：对评审过程中涉及到的密封检查、身份核对、澄清等和程序性事项，</w:t>
      </w:r>
      <w:r>
        <w:rPr>
          <w:rFonts w:hint="eastAsia" w:hAnsi="宋体" w:cs="宋体"/>
          <w:b/>
          <w:sz w:val="28"/>
          <w:szCs w:val="28"/>
          <w:lang w:eastAsia="zh-CN"/>
        </w:rPr>
        <w:t>参选人</w:t>
      </w:r>
      <w:r>
        <w:rPr>
          <w:rFonts w:hint="eastAsia" w:ascii="宋体" w:hAnsi="宋体" w:cs="宋体"/>
          <w:b/>
          <w:sz w:val="28"/>
          <w:szCs w:val="28"/>
        </w:rPr>
        <w:t>如有异议的，必须当场提出。否则，均视为</w:t>
      </w:r>
      <w:r>
        <w:rPr>
          <w:rFonts w:hint="eastAsia" w:hAnsi="宋体" w:cs="宋体"/>
          <w:b/>
          <w:sz w:val="28"/>
          <w:szCs w:val="28"/>
          <w:lang w:eastAsia="zh-CN"/>
        </w:rPr>
        <w:t>参选人</w:t>
      </w:r>
      <w:r>
        <w:rPr>
          <w:rFonts w:hint="eastAsia" w:ascii="宋体" w:hAnsi="宋体" w:cs="宋体"/>
          <w:b/>
          <w:sz w:val="28"/>
          <w:szCs w:val="28"/>
        </w:rPr>
        <w:t>无异议。无论是否成交，</w:t>
      </w:r>
      <w:r>
        <w:rPr>
          <w:rFonts w:hint="eastAsia" w:hAnsi="宋体" w:cs="宋体"/>
          <w:b/>
          <w:sz w:val="28"/>
          <w:szCs w:val="28"/>
          <w:lang w:eastAsia="zh-CN"/>
        </w:rPr>
        <w:t>参选人</w:t>
      </w:r>
      <w:r>
        <w:rPr>
          <w:rFonts w:hint="eastAsia" w:ascii="宋体" w:hAnsi="宋体" w:cs="宋体"/>
          <w:b/>
          <w:sz w:val="28"/>
          <w:szCs w:val="28"/>
        </w:rPr>
        <w:t>事后不得再就前述事项提出任何异议或质询投诉。</w:t>
      </w:r>
    </w:p>
    <w:p w14:paraId="21FC219F">
      <w:pPr>
        <w:tabs>
          <w:tab w:val="left" w:pos="6555"/>
          <w:tab w:val="right" w:pos="8306"/>
        </w:tabs>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四、出现下列情形之一的，作无效参选处理;</w:t>
      </w:r>
    </w:p>
    <w:p w14:paraId="368F0591">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1.未按照采购文件规定要求签署、盖章、密封、提交的；</w:t>
      </w:r>
    </w:p>
    <w:p w14:paraId="5AF893E3">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2.不具备采购文件中规定的资格要求的；</w:t>
      </w:r>
    </w:p>
    <w:p w14:paraId="6C8B7B0B">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3.报价超过采购文件中规定的预算金额或者最高限价的；</w:t>
      </w:r>
    </w:p>
    <w:p w14:paraId="73ACFC5F">
      <w:pPr>
        <w:tabs>
          <w:tab w:val="left" w:pos="6555"/>
        </w:tabs>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4.参选文件含有采购人不能接受的附加条件的；</w:t>
      </w:r>
    </w:p>
    <w:p w14:paraId="28CB1BFF">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5.不符合采购文件中规定的其他实质性要求的。</w:t>
      </w:r>
    </w:p>
    <w:p w14:paraId="13821148">
      <w:pPr>
        <w:snapToGrid w:val="0"/>
        <w:spacing w:line="460" w:lineRule="exact"/>
        <w:ind w:firstLine="562" w:firstLineChars="200"/>
        <w:rPr>
          <w:rFonts w:hint="eastAsia" w:ascii="宋体" w:hAnsi="宋体" w:cs="宋体"/>
          <w:sz w:val="28"/>
          <w:szCs w:val="28"/>
        </w:rPr>
      </w:pPr>
      <w:r>
        <w:rPr>
          <w:rFonts w:hint="eastAsia" w:ascii="宋体" w:hAnsi="宋体" w:cs="宋体"/>
          <w:b/>
          <w:sz w:val="28"/>
          <w:szCs w:val="28"/>
        </w:rPr>
        <w:t>五、出现下列情形之一的，作废标处理</w:t>
      </w:r>
    </w:p>
    <w:p w14:paraId="7B66ED9F">
      <w:pPr>
        <w:tabs>
          <w:tab w:val="left" w:pos="6555"/>
        </w:tabs>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1.符合条件的供应商或者对</w:t>
      </w:r>
      <w:r>
        <w:rPr>
          <w:rFonts w:hint="eastAsia" w:ascii="宋体" w:hAnsi="宋体" w:eastAsia="宋体" w:cs="宋体"/>
          <w:sz w:val="28"/>
          <w:szCs w:val="28"/>
          <w:lang w:eastAsia="zh-CN"/>
        </w:rPr>
        <w:t>比选</w:t>
      </w:r>
      <w:r>
        <w:rPr>
          <w:rFonts w:hint="eastAsia" w:ascii="宋体" w:hAnsi="宋体" w:eastAsia="宋体" w:cs="宋体"/>
          <w:sz w:val="28"/>
          <w:szCs w:val="28"/>
        </w:rPr>
        <w:t>文件作实质响应的供应商不足</w:t>
      </w:r>
      <w:r>
        <w:rPr>
          <w:rFonts w:hint="eastAsia" w:ascii="宋体" w:hAnsi="宋体" w:eastAsia="宋体" w:cs="宋体"/>
          <w:sz w:val="28"/>
          <w:szCs w:val="28"/>
          <w:lang w:val="en-US" w:eastAsia="zh-CN"/>
        </w:rPr>
        <w:t>3</w:t>
      </w:r>
      <w:r>
        <w:rPr>
          <w:rFonts w:hint="eastAsia" w:ascii="宋体" w:hAnsi="宋体" w:eastAsia="宋体" w:cs="宋体"/>
          <w:sz w:val="28"/>
          <w:szCs w:val="28"/>
        </w:rPr>
        <w:t>家的；</w:t>
      </w:r>
    </w:p>
    <w:p w14:paraId="055C22F5">
      <w:pPr>
        <w:tabs>
          <w:tab w:val="left" w:pos="6555"/>
        </w:tabs>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.出现影响采购公正的违法违规行为的；</w:t>
      </w:r>
    </w:p>
    <w:p w14:paraId="568557AB">
      <w:pPr>
        <w:tabs>
          <w:tab w:val="left" w:pos="6555"/>
        </w:tabs>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参选人的报价均超过了采购预算，采购人不能支付的；</w:t>
      </w:r>
    </w:p>
    <w:p w14:paraId="61EAE66F">
      <w:pPr>
        <w:tabs>
          <w:tab w:val="left" w:pos="6555"/>
        </w:tabs>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.因重大变故，采购任务取消的</w:t>
      </w:r>
      <w:r>
        <w:rPr>
          <w:rFonts w:hint="eastAsia" w:ascii="宋体" w:hAnsi="宋体" w:eastAsia="宋体" w:cs="宋体"/>
          <w:sz w:val="28"/>
          <w:szCs w:val="28"/>
          <w:lang w:val="en-US" w:eastAsia="zh-CN"/>
        </w:rPr>
        <w:t>。</w:t>
      </w:r>
    </w:p>
    <w:p w14:paraId="06C2509F">
      <w:pPr>
        <w:snapToGrid w:val="0"/>
        <w:spacing w:line="460" w:lineRule="exact"/>
        <w:ind w:firstLine="560" w:firstLineChars="200"/>
        <w:rPr>
          <w:rFonts w:hint="default" w:hAnsi="宋体" w:cs="宋体"/>
          <w:bCs/>
          <w:sz w:val="28"/>
          <w:szCs w:val="28"/>
          <w:lang w:val="en-US" w:eastAsia="zh-CN"/>
        </w:rPr>
      </w:pPr>
      <w:r>
        <w:rPr>
          <w:rFonts w:hint="eastAsia" w:ascii="宋体" w:hAnsi="宋体" w:cs="宋体"/>
          <w:sz w:val="28"/>
          <w:szCs w:val="28"/>
        </w:rPr>
        <w:t>上述均保留评委会认定可以确定为无效参选或废标的其他情况。</w:t>
      </w:r>
    </w:p>
    <w:p w14:paraId="18725CB4">
      <w:pPr>
        <w:snapToGrid w:val="0"/>
        <w:spacing w:line="460" w:lineRule="exact"/>
        <w:ind w:firstLine="562" w:firstLineChars="200"/>
        <w:rPr>
          <w:rFonts w:hint="eastAsia" w:ascii="宋体" w:hAnsi="宋体" w:cs="宋体"/>
          <w:b/>
          <w:sz w:val="28"/>
          <w:szCs w:val="28"/>
        </w:rPr>
      </w:pPr>
      <w:r>
        <w:rPr>
          <w:rFonts w:hint="eastAsia" w:hAnsi="宋体" w:cs="宋体"/>
          <w:b/>
          <w:bCs w:val="0"/>
          <w:sz w:val="28"/>
          <w:szCs w:val="28"/>
          <w:lang w:val="en-US" w:eastAsia="zh-CN"/>
        </w:rPr>
        <w:t>六、</w:t>
      </w:r>
      <w:r>
        <w:rPr>
          <w:rFonts w:hint="eastAsia" w:ascii="宋体" w:hAnsi="宋体" w:cs="宋体"/>
          <w:b/>
          <w:bCs w:val="0"/>
          <w:sz w:val="28"/>
          <w:szCs w:val="28"/>
        </w:rPr>
        <w:t>采用综合评分法。</w:t>
      </w:r>
      <w:r>
        <w:rPr>
          <w:rFonts w:hint="eastAsia" w:ascii="宋体" w:hAnsi="宋体" w:cs="宋体"/>
          <w:bCs/>
          <w:sz w:val="28"/>
          <w:szCs w:val="28"/>
        </w:rPr>
        <w:t>分资格审查、商务技术响应文件</w:t>
      </w:r>
      <w:r>
        <w:rPr>
          <w:rFonts w:hint="eastAsia" w:ascii="宋体" w:hAnsi="宋体" w:cs="宋体"/>
          <w:bCs/>
          <w:sz w:val="28"/>
          <w:szCs w:val="28"/>
          <w:lang w:eastAsia="zh-CN"/>
        </w:rPr>
        <w:t>、</w:t>
      </w:r>
      <w:r>
        <w:rPr>
          <w:rFonts w:hint="eastAsia" w:ascii="宋体" w:hAnsi="宋体" w:cs="宋体"/>
          <w:bCs/>
          <w:sz w:val="28"/>
          <w:szCs w:val="28"/>
        </w:rPr>
        <w:t>价格响应文件三部分评审，总分值为100分，加分和减分因素除外。</w:t>
      </w:r>
    </w:p>
    <w:p w14:paraId="0EBE4A5D">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评委在认真审阅比选文件的基础上，根据各参选文件的商务技术部分的响应情况，对各评分项目进行评分，不得统一打分。</w:t>
      </w:r>
    </w:p>
    <w:p w14:paraId="774A3D58">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（一）参选人资格性、符合性审查</w:t>
      </w:r>
    </w:p>
    <w:p w14:paraId="12BDB6AB">
      <w:pPr>
        <w:pStyle w:val="128"/>
        <w:snapToGrid w:val="0"/>
        <w:spacing w:line="460" w:lineRule="exact"/>
        <w:ind w:firstLine="560" w:firstLineChars="200"/>
        <w:contextualSpacing/>
        <w:rPr>
          <w:rFonts w:hint="eastAsia" w:ascii="宋体" w:eastAsia="宋体" w:cs="宋体"/>
          <w:sz w:val="28"/>
        </w:rPr>
      </w:pPr>
      <w:r>
        <w:rPr>
          <w:rFonts w:hint="eastAsia" w:ascii="宋体" w:eastAsia="宋体" w:cs="宋体"/>
          <w:sz w:val="28"/>
        </w:rPr>
        <w:t>参选人资格性、符合性不合格的，其参选文件判定为无效参选文件。合格的，评委对其参选文件继续评审。</w:t>
      </w:r>
    </w:p>
    <w:p w14:paraId="31B3BEF8">
      <w:pPr>
        <w:kinsoku w:val="0"/>
        <w:overflowPunct w:val="0"/>
        <w:autoSpaceDE w:val="0"/>
        <w:autoSpaceDN w:val="0"/>
        <w:adjustRightInd w:val="0"/>
        <w:snapToGrid w:val="0"/>
        <w:spacing w:line="460" w:lineRule="exact"/>
        <w:ind w:firstLine="562" w:firstLineChars="200"/>
        <w:jc w:val="left"/>
        <w:rPr>
          <w:rFonts w:hint="eastAsia" w:ascii="宋体" w:hAnsi="宋体" w:cs="宋体"/>
          <w:b/>
          <w:sz w:val="28"/>
          <w:szCs w:val="28"/>
        </w:rPr>
      </w:pPr>
      <w:r>
        <w:rPr>
          <w:rFonts w:hint="eastAsia" w:ascii="宋体" w:hAnsi="宋体" w:cs="宋体"/>
          <w:b/>
          <w:sz w:val="28"/>
          <w:szCs w:val="28"/>
          <w:lang w:val="zh-CN"/>
        </w:rPr>
        <w:t xml:space="preserve"> (二)</w:t>
      </w:r>
      <w:r>
        <w:rPr>
          <w:rFonts w:hint="eastAsia" w:ascii="宋体" w:hAnsi="宋体" w:cs="宋体"/>
          <w:b/>
          <w:sz w:val="28"/>
          <w:szCs w:val="28"/>
        </w:rPr>
        <w:t>评分标准与权重</w:t>
      </w:r>
    </w:p>
    <w:p w14:paraId="1B451447">
      <w:pPr>
        <w:kinsoku w:val="0"/>
        <w:overflowPunct w:val="0"/>
        <w:autoSpaceDE w:val="0"/>
        <w:autoSpaceDN w:val="0"/>
        <w:adjustRightInd w:val="0"/>
        <w:snapToGrid w:val="0"/>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采用综合评分法，根据评分从高到低排序确定成交</w:t>
      </w:r>
      <w:r>
        <w:rPr>
          <w:rFonts w:hint="eastAsia" w:hAnsi="宋体" w:cs="宋体"/>
          <w:kern w:val="0"/>
          <w:sz w:val="28"/>
          <w:szCs w:val="28"/>
          <w:lang w:eastAsia="zh-CN"/>
        </w:rPr>
        <w:t>参选人</w:t>
      </w:r>
      <w:r>
        <w:rPr>
          <w:rFonts w:hint="eastAsia" w:ascii="宋体" w:hAnsi="宋体" w:cs="宋体"/>
          <w:kern w:val="0"/>
          <w:sz w:val="28"/>
          <w:szCs w:val="28"/>
        </w:rPr>
        <w:t>，评分标准如下：</w:t>
      </w:r>
    </w:p>
    <w:p w14:paraId="09E3EB44">
      <w:pPr>
        <w:kinsoku w:val="0"/>
        <w:overflowPunct w:val="0"/>
        <w:autoSpaceDE w:val="0"/>
        <w:autoSpaceDN w:val="0"/>
        <w:adjustRightInd w:val="0"/>
        <w:snapToGrid w:val="0"/>
        <w:spacing w:line="460" w:lineRule="exact"/>
        <w:ind w:firstLine="560" w:firstLineChars="200"/>
        <w:jc w:val="left"/>
        <w:rPr>
          <w:rFonts w:hint="eastAsia" w:ascii="宋体" w:hAnsi="宋体" w:cs="宋体"/>
          <w:b w:val="0"/>
          <w:bCs/>
          <w:sz w:val="28"/>
          <w:szCs w:val="28"/>
        </w:rPr>
      </w:pPr>
      <w:r>
        <w:rPr>
          <w:rFonts w:hint="eastAsia" w:ascii="宋体" w:hAnsi="宋体" w:cs="宋体"/>
          <w:b w:val="0"/>
          <w:bCs/>
          <w:sz w:val="28"/>
          <w:szCs w:val="28"/>
        </w:rPr>
        <w:t>（1）商务技术标评分标准：（</w:t>
      </w:r>
      <w:r>
        <w:rPr>
          <w:rFonts w:hint="eastAsia" w:ascii="宋体" w:hAnsi="宋体" w:cs="宋体"/>
          <w:b w:val="0"/>
          <w:bCs/>
          <w:sz w:val="28"/>
          <w:szCs w:val="28"/>
          <w:lang w:val="en-US" w:eastAsia="zh-CN"/>
        </w:rPr>
        <w:t>70</w:t>
      </w:r>
      <w:r>
        <w:rPr>
          <w:rFonts w:hint="eastAsia" w:ascii="宋体" w:hAnsi="宋体" w:cs="宋体"/>
          <w:b w:val="0"/>
          <w:bCs/>
          <w:sz w:val="28"/>
          <w:szCs w:val="28"/>
        </w:rPr>
        <w:t>分）</w:t>
      </w:r>
    </w:p>
    <w:p w14:paraId="4F426225">
      <w:pPr>
        <w:kinsoku w:val="0"/>
        <w:overflowPunct w:val="0"/>
        <w:autoSpaceDE w:val="0"/>
        <w:autoSpaceDN w:val="0"/>
        <w:adjustRightInd w:val="0"/>
        <w:snapToGrid w:val="0"/>
        <w:spacing w:line="4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lang w:eastAsia="zh-CN"/>
        </w:rPr>
        <w:t>参选</w:t>
      </w:r>
      <w:r>
        <w:rPr>
          <w:rFonts w:hint="eastAsia" w:ascii="宋体" w:hAnsi="宋体" w:cs="宋体"/>
          <w:kern w:val="0"/>
          <w:sz w:val="28"/>
          <w:szCs w:val="28"/>
        </w:rPr>
        <w:t>供应商得分为</w:t>
      </w:r>
      <w:r>
        <w:rPr>
          <w:rFonts w:hint="eastAsia" w:ascii="宋体" w:hAnsi="宋体" w:cs="宋体"/>
          <w:kern w:val="0"/>
          <w:sz w:val="28"/>
          <w:szCs w:val="28"/>
          <w:lang w:eastAsia="zh-CN"/>
        </w:rPr>
        <w:t>评委</w:t>
      </w:r>
      <w:r>
        <w:rPr>
          <w:rFonts w:hint="eastAsia" w:ascii="宋体" w:hAnsi="宋体" w:cs="宋体"/>
          <w:kern w:val="0"/>
          <w:sz w:val="28"/>
          <w:szCs w:val="28"/>
        </w:rPr>
        <w:t>成员的平均分，请评委根据各条评分内容在设</w:t>
      </w:r>
      <w:r>
        <w:rPr>
          <w:rFonts w:hint="eastAsia" w:ascii="宋体" w:hAnsi="宋体" w:cs="宋体"/>
          <w:kern w:val="0"/>
          <w:sz w:val="28"/>
          <w:szCs w:val="28"/>
          <w:lang w:val="en-US" w:eastAsia="zh-CN"/>
        </w:rPr>
        <w:t>定</w:t>
      </w:r>
      <w:r>
        <w:rPr>
          <w:rFonts w:hint="eastAsia" w:ascii="宋体" w:hAnsi="宋体" w:cs="宋体"/>
          <w:kern w:val="0"/>
          <w:sz w:val="28"/>
          <w:szCs w:val="28"/>
        </w:rPr>
        <w:t>分值区间内评审打分，得分四舍五入保留两位小数。</w:t>
      </w:r>
    </w:p>
    <w:p w14:paraId="0D4AA0BA">
      <w:pPr>
        <w:kinsoku w:val="0"/>
        <w:overflowPunct w:val="0"/>
        <w:autoSpaceDE w:val="0"/>
        <w:autoSpaceDN w:val="0"/>
        <w:adjustRightInd w:val="0"/>
        <w:snapToGrid w:val="0"/>
        <w:spacing w:line="460" w:lineRule="exact"/>
        <w:ind w:firstLine="560" w:firstLineChars="200"/>
        <w:jc w:val="left"/>
        <w:rPr>
          <w:rFonts w:hint="eastAsia" w:ascii="宋体" w:hAnsi="宋体" w:cs="宋体"/>
          <w:kern w:val="0"/>
          <w:sz w:val="28"/>
          <w:szCs w:val="28"/>
        </w:rPr>
      </w:pPr>
    </w:p>
    <w:tbl>
      <w:tblPr>
        <w:tblStyle w:val="53"/>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295"/>
        <w:gridCol w:w="7233"/>
      </w:tblGrid>
      <w:tr w14:paraId="79E6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7A7272AC">
            <w:pPr>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7B242043">
            <w:pPr>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评审项目</w:t>
            </w:r>
          </w:p>
        </w:tc>
        <w:tc>
          <w:tcPr>
            <w:tcW w:w="7233" w:type="dxa"/>
            <w:tcBorders>
              <w:top w:val="single" w:color="auto" w:sz="4" w:space="0"/>
              <w:left w:val="single" w:color="auto" w:sz="4" w:space="0"/>
              <w:bottom w:val="single" w:color="auto" w:sz="4" w:space="0"/>
              <w:right w:val="single" w:color="auto" w:sz="4" w:space="0"/>
            </w:tcBorders>
            <w:noWrap w:val="0"/>
            <w:vAlign w:val="center"/>
          </w:tcPr>
          <w:p w14:paraId="5491AFB7">
            <w:pPr>
              <w:snapToGrid w:val="0"/>
              <w:spacing w:line="24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技术评审因素及评分规定</w:t>
            </w:r>
          </w:p>
        </w:tc>
      </w:tr>
      <w:tr w14:paraId="06A5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36693559">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1302F9D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企业业绩</w:t>
            </w:r>
          </w:p>
          <w:p w14:paraId="2639411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tc>
        <w:tc>
          <w:tcPr>
            <w:tcW w:w="7233" w:type="dxa"/>
            <w:tcBorders>
              <w:top w:val="single" w:color="auto" w:sz="4" w:space="0"/>
              <w:left w:val="single" w:color="auto" w:sz="4" w:space="0"/>
              <w:bottom w:val="single" w:color="auto" w:sz="4" w:space="0"/>
              <w:right w:val="single" w:color="auto" w:sz="4" w:space="0"/>
            </w:tcBorders>
            <w:noWrap w:val="0"/>
            <w:vAlign w:val="center"/>
          </w:tcPr>
          <w:p w14:paraId="7242F8E1">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年1月1日以来具有电梯维保业绩的，每提供一份合同及对应</w:t>
            </w:r>
            <w:r>
              <w:rPr>
                <w:rFonts w:hint="eastAsia" w:ascii="宋体" w:hAnsi="宋体" w:eastAsia="宋体" w:cs="宋体"/>
                <w:color w:val="auto"/>
                <w:sz w:val="24"/>
                <w:szCs w:val="24"/>
                <w:highlight w:val="none"/>
                <w:lang w:val="en-US" w:eastAsia="zh-CN"/>
              </w:rPr>
              <w:t>电梯维保收费</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val="en-US" w:eastAsia="zh-CN"/>
              </w:rPr>
              <w:t>复印</w:t>
            </w:r>
            <w:r>
              <w:rPr>
                <w:rFonts w:hint="eastAsia" w:ascii="宋体" w:hAnsi="宋体" w:eastAsia="宋体" w:cs="宋体"/>
                <w:color w:val="auto"/>
                <w:sz w:val="24"/>
                <w:szCs w:val="24"/>
                <w:highlight w:val="none"/>
              </w:rPr>
              <w:t>件并加盖供应商单位公章的，得2分。最高得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未提供的不得分。</w:t>
            </w:r>
          </w:p>
        </w:tc>
      </w:tr>
      <w:tr w14:paraId="1496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6CD20A8C">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2399BE1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技术维保</w:t>
            </w:r>
          </w:p>
          <w:p w14:paraId="43C14CD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力量</w:t>
            </w:r>
          </w:p>
          <w:p w14:paraId="204A0FA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分）</w:t>
            </w:r>
          </w:p>
        </w:tc>
        <w:tc>
          <w:tcPr>
            <w:tcW w:w="7233" w:type="dxa"/>
            <w:tcBorders>
              <w:top w:val="single" w:color="auto" w:sz="4" w:space="0"/>
              <w:left w:val="single" w:color="auto" w:sz="4" w:space="0"/>
              <w:bottom w:val="single" w:color="auto" w:sz="4" w:space="0"/>
              <w:right w:val="single" w:color="auto" w:sz="4" w:space="0"/>
            </w:tcBorders>
            <w:noWrap w:val="0"/>
            <w:vAlign w:val="center"/>
          </w:tcPr>
          <w:p w14:paraId="16AABFC6">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（1）拟派项目组人员：具有中级工程师及以上职称的人员，每提供1个得3分，最多得6分。</w:t>
            </w:r>
          </w:p>
          <w:p w14:paraId="44952740">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（2）拟派项目组人员：具有特种设备作业T证(或T1证或T2证)人员 ，每提供一个得2分，最多得6分。</w:t>
            </w:r>
          </w:p>
          <w:p w14:paraId="48D9BDEE">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拟派项目组人员表（格式自拟）、人员的身份证复印件、证书复印件及投标供应商与上述人员双方签订的有效劳动合同书复印件、社保机构出具的由企业为上述人员缴纳的2025年1月至4月期间内任意一个月的社会保险缴费清单并加盖供应商单位公章。</w:t>
            </w:r>
          </w:p>
          <w:p w14:paraId="32A75635">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r>
      <w:tr w14:paraId="458D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567071B8">
            <w:pPr>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6564EDB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技术保障</w:t>
            </w:r>
          </w:p>
          <w:p w14:paraId="78664B1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（12分）</w:t>
            </w:r>
          </w:p>
        </w:tc>
        <w:tc>
          <w:tcPr>
            <w:tcW w:w="7233" w:type="dxa"/>
            <w:tcBorders>
              <w:top w:val="single" w:color="auto" w:sz="4" w:space="0"/>
              <w:left w:val="single" w:color="auto" w:sz="4" w:space="0"/>
              <w:bottom w:val="single" w:color="auto" w:sz="4" w:space="0"/>
              <w:right w:val="single" w:color="auto" w:sz="4" w:space="0"/>
            </w:tcBorders>
            <w:noWrap w:val="0"/>
            <w:vAlign w:val="center"/>
          </w:tcPr>
          <w:p w14:paraId="48F880EA">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投标供应商自有合格有效的电梯钢丝绳张力测试仪、钢丝绳探伤仪、加减速度测试仪等主要的电梯维保检测检修工器具。</w:t>
            </w:r>
          </w:p>
          <w:p w14:paraId="4F130375">
            <w:pPr>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提供投标供应商有效的产品检测报告复印件并加盖供应商单位公章。每提供一项得4分，满分12分，未提供的不得分。</w:t>
            </w:r>
          </w:p>
        </w:tc>
      </w:tr>
      <w:tr w14:paraId="573A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4"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04098758">
            <w:pPr>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41F3468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p w14:paraId="6A1EE20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7233" w:type="dxa"/>
            <w:tcBorders>
              <w:top w:val="single" w:color="auto" w:sz="4" w:space="0"/>
              <w:left w:val="single" w:color="auto" w:sz="4" w:space="0"/>
              <w:bottom w:val="single" w:color="auto" w:sz="4" w:space="0"/>
              <w:right w:val="single" w:color="auto" w:sz="4" w:space="0"/>
            </w:tcBorders>
            <w:noWrap w:val="0"/>
            <w:vAlign w:val="center"/>
          </w:tcPr>
          <w:p w14:paraId="772800EB">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（1）项目基本情况、维保计划安排。（</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分）</w:t>
            </w:r>
          </w:p>
          <w:p w14:paraId="5488FEA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项目基本情况了解详细，日巡检、周、月、季保养措施得当，进度安排合理；得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63D305E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项目基本情况了解一般，根据实际检测工作量，日巡检、周、月、季保养措施较好；得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16E4897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项目基本情况不了解，根据实际检测工作量，日巡检、周、月、季保养措施较差；得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27E298CF">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（2）故障响应承诺</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应急措施等。（</w:t>
            </w:r>
            <w:r>
              <w:rPr>
                <w:rFonts w:hint="eastAsia" w:ascii="宋体" w:hAnsi="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分）</w:t>
            </w:r>
          </w:p>
          <w:p w14:paraId="176DFE3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平时故障响应及时，电梯停运后在12小时内恢复运行、电梯困人在10分钟到达现场，10分钟以内解决、应急方案合理有效、可行性强，节假日前重点措施保养合理。得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p w14:paraId="4BCC6B7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平时故障响应较及时，电梯停运后在24小时内恢复运行、电梯困人在15分钟到达现场，15分钟以内解决、应急方案合理较有效、可行性较强，节假日前重点保养措施较合理。得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4EF65D2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平时故障响应不及时，电梯停运后在24小时以上恢复运行、电梯困人在15分钟以上到达现场，30分钟以上解决、应急方案合理较差、可行性较差；节假日前重点保养措施不合理。得</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分。</w:t>
            </w:r>
          </w:p>
          <w:p w14:paraId="778C64EF">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分）</w:t>
            </w:r>
          </w:p>
          <w:p w14:paraId="0C22004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投标供应商有其他优惠条件的，可自行承诺，由评委会视优惠条件优劣进行横向比较，在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分内打分。</w:t>
            </w:r>
          </w:p>
          <w:p w14:paraId="659C4A41">
            <w:pPr>
              <w:snapToGrid w:val="0"/>
              <w:spacing w:line="360" w:lineRule="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未提供的不得分。</w:t>
            </w:r>
          </w:p>
        </w:tc>
      </w:tr>
      <w:tr w14:paraId="64A8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14:paraId="7D2BAA1D">
            <w:pPr>
              <w:snapToGrid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5</w:t>
            </w:r>
          </w:p>
        </w:tc>
        <w:tc>
          <w:tcPr>
            <w:tcW w:w="1295" w:type="dxa"/>
            <w:tcBorders>
              <w:top w:val="single" w:color="auto" w:sz="4" w:space="0"/>
              <w:left w:val="single" w:color="auto" w:sz="4" w:space="0"/>
              <w:bottom w:val="single" w:color="auto" w:sz="4" w:space="0"/>
              <w:right w:val="single" w:color="auto" w:sz="4" w:space="0"/>
            </w:tcBorders>
            <w:noWrap w:val="0"/>
            <w:vAlign w:val="center"/>
          </w:tcPr>
          <w:p w14:paraId="629B859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安全保证措施</w:t>
            </w:r>
          </w:p>
          <w:p w14:paraId="079D72C6">
            <w:pPr>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6分</w:t>
            </w:r>
            <w:r>
              <w:rPr>
                <w:rFonts w:hint="eastAsia" w:ascii="宋体" w:hAnsi="宋体" w:eastAsia="宋体" w:cs="宋体"/>
                <w:b/>
                <w:bCs/>
                <w:color w:val="auto"/>
                <w:sz w:val="24"/>
                <w:szCs w:val="24"/>
                <w:highlight w:val="none"/>
                <w:lang w:eastAsia="zh-CN"/>
              </w:rPr>
              <w:t>）</w:t>
            </w:r>
          </w:p>
        </w:tc>
        <w:tc>
          <w:tcPr>
            <w:tcW w:w="7233" w:type="dxa"/>
            <w:tcBorders>
              <w:top w:val="single" w:color="auto" w:sz="4" w:space="0"/>
              <w:left w:val="single" w:color="auto" w:sz="4" w:space="0"/>
              <w:bottom w:val="single" w:color="auto" w:sz="4" w:space="0"/>
              <w:right w:val="single" w:color="auto" w:sz="4" w:space="0"/>
            </w:tcBorders>
            <w:noWrap w:val="0"/>
            <w:vAlign w:val="center"/>
          </w:tcPr>
          <w:p w14:paraId="3D2820E9">
            <w:pPr>
              <w:widowControl/>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结合本项目特点，制定安全保证措施。内容全面科学、措施得当，具有针对性得</w:t>
            </w:r>
            <w:r>
              <w:rPr>
                <w:rFonts w:hint="eastAsia" w:ascii="宋体" w:hAnsi="宋体" w:eastAsia="宋体" w:cs="宋体"/>
                <w:color w:val="auto"/>
                <w:sz w:val="24"/>
                <w:szCs w:val="24"/>
                <w:highlight w:val="none"/>
                <w:lang w:val="en-US" w:eastAsia="zh-CN"/>
              </w:rPr>
              <w:t>5-6</w:t>
            </w:r>
            <w:r>
              <w:rPr>
                <w:rFonts w:hint="eastAsia" w:ascii="宋体" w:hAnsi="宋体" w:eastAsia="宋体" w:cs="宋体"/>
                <w:color w:val="auto"/>
                <w:sz w:val="24"/>
                <w:szCs w:val="24"/>
                <w:highlight w:val="none"/>
                <w:lang w:eastAsia="zh-CN"/>
              </w:rPr>
              <w:t>分；内容较全面、措施较合理，具有一定的针对性得</w:t>
            </w: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分；内容粗略，针对性有所欠缺得1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未提供的不得分</w:t>
            </w:r>
            <w:r>
              <w:rPr>
                <w:rFonts w:hint="eastAsia" w:ascii="宋体" w:hAnsi="宋体" w:eastAsia="宋体" w:cs="宋体"/>
                <w:color w:val="auto"/>
                <w:sz w:val="24"/>
                <w:szCs w:val="24"/>
                <w:highlight w:val="none"/>
                <w:lang w:eastAsia="zh-CN"/>
              </w:rPr>
              <w:t>。</w:t>
            </w:r>
          </w:p>
        </w:tc>
      </w:tr>
    </w:tbl>
    <w:p w14:paraId="091DA5DF">
      <w:pPr>
        <w:kinsoku w:val="0"/>
        <w:overflowPunct w:val="0"/>
        <w:autoSpaceDE w:val="0"/>
        <w:autoSpaceDN w:val="0"/>
        <w:adjustRightInd w:val="0"/>
        <w:snapToGrid w:val="0"/>
        <w:spacing w:line="460" w:lineRule="exact"/>
        <w:ind w:firstLine="560" w:firstLineChars="200"/>
        <w:jc w:val="left"/>
        <w:rPr>
          <w:rFonts w:hint="eastAsia" w:ascii="宋体" w:hAnsi="宋体" w:cs="宋体"/>
          <w:b w:val="0"/>
          <w:bCs/>
          <w:sz w:val="28"/>
          <w:szCs w:val="28"/>
        </w:rPr>
      </w:pPr>
      <w:r>
        <w:rPr>
          <w:rFonts w:hint="eastAsia" w:ascii="宋体" w:hAnsi="宋体" w:cs="宋体"/>
          <w:b w:val="0"/>
          <w:bCs/>
          <w:sz w:val="28"/>
          <w:szCs w:val="28"/>
        </w:rPr>
        <w:t>（2）价格分：（</w:t>
      </w:r>
      <w:r>
        <w:rPr>
          <w:rFonts w:hint="eastAsia" w:ascii="宋体" w:hAnsi="宋体" w:cs="宋体"/>
          <w:b w:val="0"/>
          <w:bCs/>
          <w:sz w:val="28"/>
          <w:szCs w:val="28"/>
          <w:lang w:val="en-US" w:eastAsia="zh-CN"/>
        </w:rPr>
        <w:t>30</w:t>
      </w:r>
      <w:r>
        <w:rPr>
          <w:rFonts w:hint="eastAsia" w:ascii="宋体" w:hAnsi="宋体" w:cs="宋体"/>
          <w:b w:val="0"/>
          <w:bCs/>
          <w:sz w:val="28"/>
          <w:szCs w:val="28"/>
        </w:rPr>
        <w:t>分）</w:t>
      </w:r>
    </w:p>
    <w:p w14:paraId="4F45516B">
      <w:pPr>
        <w:autoSpaceDE w:val="0"/>
        <w:autoSpaceDN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综合评分法中的价格分统一采用低价优先法计算，即满足比选文件要求且报价最低的</w:t>
      </w:r>
      <w:r>
        <w:rPr>
          <w:rFonts w:hint="eastAsia" w:hAnsi="宋体" w:cs="宋体"/>
          <w:sz w:val="28"/>
          <w:szCs w:val="28"/>
          <w:lang w:eastAsia="zh-CN"/>
        </w:rPr>
        <w:t>参选人</w:t>
      </w:r>
      <w:r>
        <w:rPr>
          <w:rFonts w:hint="eastAsia" w:ascii="宋体" w:hAnsi="宋体" w:cs="宋体"/>
          <w:sz w:val="28"/>
          <w:szCs w:val="28"/>
        </w:rPr>
        <w:t>的价格为比选基准价，其价格分为满分。其他</w:t>
      </w:r>
      <w:r>
        <w:rPr>
          <w:rFonts w:hint="eastAsia" w:hAnsi="宋体" w:cs="宋体"/>
          <w:sz w:val="28"/>
          <w:szCs w:val="28"/>
          <w:lang w:eastAsia="zh-CN"/>
        </w:rPr>
        <w:t>参选人</w:t>
      </w:r>
      <w:r>
        <w:rPr>
          <w:rFonts w:hint="eastAsia" w:ascii="宋体" w:hAnsi="宋体" w:cs="宋体"/>
          <w:sz w:val="28"/>
          <w:szCs w:val="28"/>
        </w:rPr>
        <w:t>的价格分统一按照下列公式计算：</w:t>
      </w:r>
    </w:p>
    <w:p w14:paraId="06311599">
      <w:pPr>
        <w:autoSpaceDE w:val="0"/>
        <w:autoSpaceDN w:val="0"/>
        <w:adjustRightInd w:val="0"/>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比选报价得分=（比选基准价/比选报价）×价格权值×100</w:t>
      </w:r>
    </w:p>
    <w:p w14:paraId="71DDE252">
      <w:pPr>
        <w:snapToGrid w:val="0"/>
        <w:spacing w:line="460" w:lineRule="exact"/>
        <w:ind w:firstLine="562" w:firstLineChars="200"/>
        <w:rPr>
          <w:rFonts w:hint="eastAsia" w:ascii="宋体" w:hAnsi="宋体" w:cs="宋体"/>
          <w:b/>
          <w:bCs/>
          <w:sz w:val="28"/>
          <w:szCs w:val="28"/>
        </w:rPr>
      </w:pPr>
      <w:r>
        <w:rPr>
          <w:rFonts w:hint="eastAsia" w:ascii="宋体" w:hAnsi="宋体" w:cs="宋体"/>
          <w:b/>
          <w:bCs/>
          <w:sz w:val="28"/>
          <w:szCs w:val="28"/>
        </w:rPr>
        <w:t>比选小组认为</w:t>
      </w:r>
      <w:r>
        <w:rPr>
          <w:rFonts w:hint="eastAsia" w:hAnsi="宋体" w:cs="宋体"/>
          <w:b/>
          <w:bCs/>
          <w:sz w:val="28"/>
          <w:szCs w:val="28"/>
          <w:lang w:eastAsia="zh-CN"/>
        </w:rPr>
        <w:t>参选人</w:t>
      </w:r>
      <w:r>
        <w:rPr>
          <w:rFonts w:hint="eastAsia" w:ascii="宋体" w:hAnsi="宋体" w:cs="宋体"/>
          <w:b/>
          <w:bCs/>
          <w:sz w:val="28"/>
          <w:szCs w:val="28"/>
        </w:rPr>
        <w:t>的参选报价有可能影响服务质量或者不能诚信履约的，应当要求其在评标现场合理的时间内提供书面说明，必要时提交相关证明材料；</w:t>
      </w:r>
      <w:r>
        <w:rPr>
          <w:rFonts w:hint="eastAsia" w:hAnsi="宋体" w:cs="宋体"/>
          <w:b/>
          <w:bCs/>
          <w:sz w:val="28"/>
          <w:szCs w:val="28"/>
          <w:lang w:eastAsia="zh-CN"/>
        </w:rPr>
        <w:t>参选人</w:t>
      </w:r>
      <w:r>
        <w:rPr>
          <w:rFonts w:hint="eastAsia" w:ascii="宋体" w:hAnsi="宋体" w:cs="宋体"/>
          <w:b/>
          <w:bCs/>
          <w:sz w:val="28"/>
          <w:szCs w:val="28"/>
        </w:rPr>
        <w:t>不能证明其报价合理性的，比选小组应当将其作为无效报价处理。</w:t>
      </w:r>
    </w:p>
    <w:p w14:paraId="6374DB1E">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lang w:eastAsia="zh-CN"/>
        </w:rPr>
        <w:t>七、</w:t>
      </w:r>
      <w:r>
        <w:rPr>
          <w:rFonts w:hint="eastAsia" w:ascii="宋体" w:hAnsi="宋体" w:cs="宋体"/>
          <w:b/>
          <w:sz w:val="28"/>
          <w:szCs w:val="28"/>
        </w:rPr>
        <w:t>推荐中选服务单位</w:t>
      </w:r>
    </w:p>
    <w:p w14:paraId="36A03119">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采用综合评分法的，评审结果按评审后得分由高到低顺序排列。得分相同的，按比选报价由低到高顺序排列。比选文件满足比选文件全部实质性要求，且得分最高的比选人为排名第一的中标候选人。得分且比选报价相同的并列。采取随机抽取的方式确定。</w:t>
      </w:r>
    </w:p>
    <w:p w14:paraId="7D71B69C">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成交</w:t>
      </w:r>
      <w:r>
        <w:rPr>
          <w:rFonts w:hint="eastAsia" w:hAnsi="宋体" w:cs="宋体"/>
          <w:sz w:val="28"/>
          <w:szCs w:val="28"/>
          <w:lang w:eastAsia="zh-CN"/>
        </w:rPr>
        <w:t>参选人</w:t>
      </w:r>
      <w:r>
        <w:rPr>
          <w:rFonts w:hint="eastAsia" w:ascii="宋体" w:hAnsi="宋体" w:cs="宋体"/>
          <w:sz w:val="28"/>
          <w:szCs w:val="28"/>
        </w:rPr>
        <w:t>无故弃标，或者因其自身原因不再具备成交资格等，按相关规定处理；采购人可以按照评审委员会评审结果，按综合得分从高向低排序，由其他成交候选人递补，或重新组织采购。</w:t>
      </w:r>
    </w:p>
    <w:p w14:paraId="3E195AB1">
      <w:pPr>
        <w:snapToGrid w:val="0"/>
        <w:spacing w:line="460" w:lineRule="exact"/>
        <w:ind w:firstLine="562" w:firstLineChars="200"/>
        <w:rPr>
          <w:rFonts w:hint="eastAsia" w:ascii="宋体" w:hAnsi="宋体" w:cs="宋体"/>
          <w:b/>
          <w:sz w:val="28"/>
          <w:szCs w:val="28"/>
        </w:rPr>
      </w:pPr>
      <w:r>
        <w:rPr>
          <w:rFonts w:hint="eastAsia" w:hAnsi="宋体" w:cs="宋体"/>
          <w:b/>
          <w:sz w:val="28"/>
          <w:szCs w:val="28"/>
          <w:lang w:val="en-US" w:eastAsia="zh-CN"/>
        </w:rPr>
        <w:t>八</w:t>
      </w:r>
      <w:r>
        <w:rPr>
          <w:rFonts w:hint="eastAsia" w:ascii="宋体" w:hAnsi="宋体" w:cs="宋体"/>
          <w:b/>
          <w:sz w:val="28"/>
          <w:szCs w:val="28"/>
        </w:rPr>
        <w:t>、其他注意事项</w:t>
      </w:r>
    </w:p>
    <w:p w14:paraId="7BFA755A">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1.在比选时间，参选人不得向评委询问情况，不得进行旨在影响评审结果的活动。</w:t>
      </w:r>
    </w:p>
    <w:p w14:paraId="0D0D7ABD">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2.评委会不得向参选人解释落选原因。</w:t>
      </w:r>
    </w:p>
    <w:p w14:paraId="1EFD5BE3">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3.在比选、评审过程中，如果参选人联合故意抬高报价或出现其他不正当行为，采购人有权中止比选或评审。</w:t>
      </w:r>
    </w:p>
    <w:p w14:paraId="169A7088">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4.凡在比选过程中，采购人已提示是否异议的事项，参选人当时没有提出异议的，事后参选人不得针对上述事项提出质询。比如：采购人在比选中提示评委是否回避，参选人现场未提出异议的，事后不得针对评委回避事项提出质询。</w:t>
      </w:r>
    </w:p>
    <w:p w14:paraId="000ABB7D">
      <w:pPr>
        <w:snapToGrid w:val="0"/>
        <w:spacing w:line="460" w:lineRule="exact"/>
        <w:ind w:firstLine="562" w:firstLineChars="200"/>
        <w:rPr>
          <w:rFonts w:hint="eastAsia" w:ascii="宋体" w:hAnsi="宋体" w:cs="宋体"/>
          <w:b/>
          <w:sz w:val="28"/>
          <w:szCs w:val="28"/>
        </w:rPr>
      </w:pPr>
      <w:r>
        <w:rPr>
          <w:rFonts w:hint="eastAsia" w:hAnsi="宋体" w:cs="宋体"/>
          <w:b/>
          <w:sz w:val="28"/>
          <w:szCs w:val="28"/>
          <w:lang w:val="en-US" w:eastAsia="zh-CN"/>
        </w:rPr>
        <w:t>九</w:t>
      </w:r>
      <w:r>
        <w:rPr>
          <w:rFonts w:hint="eastAsia" w:ascii="宋体" w:hAnsi="宋体" w:cs="宋体"/>
          <w:b/>
          <w:sz w:val="28"/>
          <w:szCs w:val="28"/>
        </w:rPr>
        <w:t>、中选通知</w:t>
      </w:r>
    </w:p>
    <w:p w14:paraId="3836271F">
      <w:pPr>
        <w:snapToGrid w:val="0"/>
        <w:spacing w:line="460" w:lineRule="exact"/>
        <w:ind w:firstLine="560" w:firstLineChars="200"/>
        <w:rPr>
          <w:rFonts w:hint="eastAsia" w:ascii="宋体" w:hAnsi="宋体" w:cs="宋体"/>
          <w:sz w:val="28"/>
          <w:szCs w:val="32"/>
        </w:rPr>
      </w:pPr>
      <w:r>
        <w:rPr>
          <w:rFonts w:hint="eastAsia" w:ascii="宋体" w:hAnsi="宋体" w:cs="宋体"/>
          <w:sz w:val="28"/>
          <w:szCs w:val="28"/>
        </w:rPr>
        <w:t>中选结果在</w:t>
      </w:r>
      <w:r>
        <w:rPr>
          <w:rFonts w:hint="eastAsia" w:hAnsi="宋体" w:cs="宋体"/>
          <w:sz w:val="28"/>
          <w:szCs w:val="28"/>
          <w:lang w:eastAsia="zh-CN"/>
        </w:rPr>
        <w:t>南通市民政局网站</w:t>
      </w:r>
      <w:r>
        <w:rPr>
          <w:rFonts w:hint="eastAsia" w:ascii="宋体" w:hAnsi="宋体" w:cs="宋体"/>
          <w:sz w:val="28"/>
          <w:szCs w:val="28"/>
        </w:rPr>
        <w:t>公示，公告期限为1个工作日。《成交通知书》一经发出，如采购单位改变中选结果，或者中选</w:t>
      </w:r>
      <w:r>
        <w:rPr>
          <w:rFonts w:hint="eastAsia" w:hAnsi="宋体" w:cs="宋体"/>
          <w:sz w:val="28"/>
          <w:szCs w:val="28"/>
          <w:lang w:eastAsia="zh-CN"/>
        </w:rPr>
        <w:t>参选人</w:t>
      </w:r>
      <w:r>
        <w:rPr>
          <w:rFonts w:hint="eastAsia" w:ascii="宋体" w:hAnsi="宋体" w:cs="宋体"/>
          <w:sz w:val="28"/>
          <w:szCs w:val="28"/>
        </w:rPr>
        <w:t>放弃中选的，各自承担相应的法律责任。《成交通知书》是采购合同的组成部分。</w:t>
      </w:r>
    </w:p>
    <w:p w14:paraId="33F3C88D">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十、其他</w:t>
      </w:r>
    </w:p>
    <w:p w14:paraId="01D3A4B1">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当成交</w:t>
      </w:r>
      <w:r>
        <w:rPr>
          <w:rFonts w:hint="eastAsia" w:hAnsi="宋体" w:cs="宋体"/>
          <w:sz w:val="28"/>
          <w:szCs w:val="28"/>
          <w:lang w:eastAsia="zh-CN"/>
        </w:rPr>
        <w:t>参选人</w:t>
      </w:r>
      <w:r>
        <w:rPr>
          <w:rFonts w:hint="eastAsia" w:ascii="宋体" w:hAnsi="宋体" w:cs="宋体"/>
          <w:sz w:val="28"/>
          <w:szCs w:val="28"/>
        </w:rPr>
        <w:t>无正当理由放弃中选，被查实存在影响成交结果的违法行为等情形，采购人有权按照政府采购相关法律法规的规定对其采取惩戒措施，包含但不限于列入采购失信人黑名单等措施。</w:t>
      </w:r>
    </w:p>
    <w:p w14:paraId="5947E3C7">
      <w:pPr>
        <w:snapToGrid w:val="0"/>
        <w:spacing w:line="460" w:lineRule="exact"/>
        <w:ind w:firstLine="560" w:firstLineChars="200"/>
        <w:rPr>
          <w:rFonts w:hint="eastAsia" w:ascii="宋体" w:hAnsi="宋体" w:cs="宋体"/>
          <w:sz w:val="28"/>
          <w:szCs w:val="28"/>
        </w:rPr>
      </w:pPr>
      <w:r>
        <w:rPr>
          <w:rFonts w:hint="eastAsia" w:ascii="宋体" w:hAnsi="宋体" w:cs="宋体"/>
          <w:sz w:val="28"/>
          <w:szCs w:val="28"/>
        </w:rPr>
        <w:t>当成交</w:t>
      </w:r>
      <w:r>
        <w:rPr>
          <w:rFonts w:hint="eastAsia" w:hAnsi="宋体" w:cs="宋体"/>
          <w:sz w:val="28"/>
          <w:szCs w:val="28"/>
          <w:lang w:eastAsia="zh-CN"/>
        </w:rPr>
        <w:t>参选人</w:t>
      </w:r>
      <w:r>
        <w:rPr>
          <w:rFonts w:hint="eastAsia" w:ascii="宋体" w:hAnsi="宋体" w:cs="宋体"/>
          <w:sz w:val="28"/>
          <w:szCs w:val="28"/>
        </w:rPr>
        <w:t>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06EEA950">
      <w:pPr>
        <w:spacing w:line="360" w:lineRule="auto"/>
        <w:ind w:firstLine="464" w:firstLineChars="200"/>
        <w:rPr>
          <w:rFonts w:ascii="宋体" w:hAnsi="宋体" w:cs="宋体"/>
          <w:color w:val="auto"/>
          <w:spacing w:val="-4"/>
          <w:sz w:val="24"/>
          <w:highlight w:val="none"/>
        </w:rPr>
      </w:pPr>
    </w:p>
    <w:p w14:paraId="26FFC23F">
      <w:pPr>
        <w:kinsoku w:val="0"/>
        <w:overflowPunct w:val="0"/>
        <w:autoSpaceDE w:val="0"/>
        <w:autoSpaceDN w:val="0"/>
        <w:adjustRightInd w:val="0"/>
        <w:snapToGrid w:val="0"/>
        <w:spacing w:line="460" w:lineRule="exact"/>
        <w:ind w:firstLine="560" w:firstLineChars="200"/>
        <w:jc w:val="left"/>
        <w:rPr>
          <w:rFonts w:hint="eastAsia" w:ascii="宋体" w:hAnsi="宋体" w:cs="宋体"/>
          <w:kern w:val="0"/>
          <w:sz w:val="28"/>
          <w:szCs w:val="28"/>
        </w:rPr>
      </w:pPr>
    </w:p>
    <w:p w14:paraId="57A1FE99">
      <w:pPr>
        <w:pStyle w:val="212"/>
        <w:rPr>
          <w:rFonts w:hint="eastAsia" w:ascii="宋体" w:hAnsi="宋体" w:cs="宋体"/>
          <w:kern w:val="0"/>
          <w:sz w:val="28"/>
          <w:szCs w:val="28"/>
        </w:rPr>
      </w:pPr>
    </w:p>
    <w:p w14:paraId="299D3436">
      <w:pPr>
        <w:pStyle w:val="3"/>
        <w:rPr>
          <w:rFonts w:hint="eastAsia" w:ascii="宋体" w:hAnsi="宋体" w:cs="宋体"/>
          <w:kern w:val="0"/>
          <w:sz w:val="28"/>
          <w:szCs w:val="28"/>
        </w:rPr>
      </w:pPr>
    </w:p>
    <w:p w14:paraId="46E20679">
      <w:pPr>
        <w:rPr>
          <w:rFonts w:hint="eastAsia" w:ascii="宋体" w:hAnsi="宋体" w:cs="宋体"/>
          <w:kern w:val="0"/>
          <w:sz w:val="28"/>
          <w:szCs w:val="28"/>
        </w:rPr>
      </w:pPr>
    </w:p>
    <w:p w14:paraId="658C2B3E">
      <w:pPr>
        <w:pStyle w:val="212"/>
        <w:rPr>
          <w:rFonts w:hint="eastAsia" w:ascii="宋体" w:hAnsi="宋体" w:cs="宋体"/>
          <w:kern w:val="0"/>
          <w:sz w:val="28"/>
          <w:szCs w:val="28"/>
        </w:rPr>
      </w:pPr>
    </w:p>
    <w:p w14:paraId="2414FBFE">
      <w:pPr>
        <w:pStyle w:val="3"/>
        <w:rPr>
          <w:rFonts w:hint="eastAsia" w:ascii="宋体" w:hAnsi="宋体" w:cs="宋体"/>
          <w:kern w:val="0"/>
          <w:sz w:val="28"/>
          <w:szCs w:val="28"/>
        </w:rPr>
      </w:pPr>
    </w:p>
    <w:p w14:paraId="7308396F">
      <w:pPr>
        <w:rPr>
          <w:rFonts w:hint="eastAsia" w:ascii="宋体" w:hAnsi="宋体" w:cs="宋体"/>
          <w:kern w:val="0"/>
          <w:sz w:val="28"/>
          <w:szCs w:val="28"/>
        </w:rPr>
      </w:pPr>
    </w:p>
    <w:p w14:paraId="4CE3AF82">
      <w:pPr>
        <w:pStyle w:val="212"/>
        <w:rPr>
          <w:rFonts w:hint="eastAsia" w:ascii="宋体" w:hAnsi="宋体" w:cs="宋体"/>
          <w:kern w:val="0"/>
          <w:sz w:val="28"/>
          <w:szCs w:val="28"/>
        </w:rPr>
      </w:pPr>
    </w:p>
    <w:p w14:paraId="76221C72">
      <w:pPr>
        <w:pStyle w:val="3"/>
        <w:rPr>
          <w:rFonts w:hint="eastAsia" w:ascii="宋体" w:hAnsi="宋体" w:cs="宋体"/>
          <w:kern w:val="0"/>
          <w:sz w:val="28"/>
          <w:szCs w:val="28"/>
        </w:rPr>
      </w:pPr>
    </w:p>
    <w:p w14:paraId="3BD91FB4">
      <w:pPr>
        <w:rPr>
          <w:rFonts w:hint="eastAsia" w:ascii="宋体" w:hAnsi="宋体" w:cs="宋体"/>
          <w:kern w:val="0"/>
          <w:sz w:val="28"/>
          <w:szCs w:val="28"/>
        </w:rPr>
      </w:pPr>
    </w:p>
    <w:p w14:paraId="1246DD0A">
      <w:pPr>
        <w:pStyle w:val="212"/>
        <w:rPr>
          <w:rFonts w:hint="eastAsia" w:ascii="宋体" w:hAnsi="宋体" w:cs="宋体"/>
          <w:kern w:val="0"/>
          <w:sz w:val="28"/>
          <w:szCs w:val="28"/>
        </w:rPr>
      </w:pPr>
    </w:p>
    <w:p w14:paraId="55DC4C4B">
      <w:pPr>
        <w:pStyle w:val="3"/>
        <w:rPr>
          <w:rFonts w:hint="eastAsia" w:ascii="宋体" w:hAnsi="宋体" w:cs="宋体"/>
          <w:kern w:val="0"/>
          <w:sz w:val="28"/>
          <w:szCs w:val="28"/>
        </w:rPr>
      </w:pPr>
    </w:p>
    <w:p w14:paraId="626B35B4">
      <w:pPr>
        <w:rPr>
          <w:rFonts w:hint="eastAsia" w:ascii="宋体" w:hAnsi="宋体" w:cs="宋体"/>
          <w:kern w:val="0"/>
          <w:sz w:val="28"/>
          <w:szCs w:val="28"/>
        </w:rPr>
      </w:pPr>
    </w:p>
    <w:p w14:paraId="7787596F">
      <w:pPr>
        <w:pStyle w:val="212"/>
        <w:rPr>
          <w:rFonts w:hint="eastAsia" w:ascii="宋体" w:hAnsi="宋体" w:cs="宋体"/>
          <w:kern w:val="0"/>
          <w:sz w:val="28"/>
          <w:szCs w:val="28"/>
        </w:rPr>
      </w:pPr>
    </w:p>
    <w:p w14:paraId="3DC55B0A">
      <w:pPr>
        <w:pStyle w:val="3"/>
        <w:rPr>
          <w:rFonts w:hint="eastAsia" w:ascii="宋体" w:hAnsi="宋体" w:cs="宋体"/>
          <w:kern w:val="0"/>
          <w:sz w:val="28"/>
          <w:szCs w:val="28"/>
        </w:rPr>
      </w:pPr>
    </w:p>
    <w:p w14:paraId="3FF5DF9C">
      <w:pPr>
        <w:rPr>
          <w:rFonts w:hint="eastAsia" w:ascii="宋体" w:hAnsi="宋体" w:cs="宋体"/>
          <w:kern w:val="0"/>
          <w:sz w:val="28"/>
          <w:szCs w:val="28"/>
        </w:rPr>
      </w:pPr>
    </w:p>
    <w:p w14:paraId="3881815A">
      <w:pPr>
        <w:pStyle w:val="212"/>
        <w:rPr>
          <w:rFonts w:hint="eastAsia"/>
        </w:rPr>
      </w:pPr>
    </w:p>
    <w:p w14:paraId="3C2C01FD">
      <w:pPr>
        <w:rPr>
          <w:rFonts w:hint="eastAsia" w:ascii="宋体" w:hAnsi="宋体" w:cs="宋体"/>
          <w:kern w:val="0"/>
          <w:sz w:val="28"/>
          <w:szCs w:val="28"/>
        </w:rPr>
      </w:pPr>
    </w:p>
    <w:p w14:paraId="06EDE2F3">
      <w:pPr>
        <w:rPr>
          <w:rFonts w:hint="eastAsia" w:ascii="宋体" w:hAnsi="宋体" w:cs="宋体"/>
          <w:kern w:val="0"/>
          <w:sz w:val="28"/>
          <w:szCs w:val="28"/>
        </w:rPr>
      </w:pPr>
    </w:p>
    <w:p w14:paraId="3818FE2A">
      <w:pPr>
        <w:pStyle w:val="212"/>
        <w:rPr>
          <w:rFonts w:hint="eastAsia" w:ascii="宋体" w:hAnsi="宋体" w:cs="宋体"/>
          <w:kern w:val="0"/>
          <w:sz w:val="28"/>
          <w:szCs w:val="28"/>
        </w:rPr>
      </w:pPr>
    </w:p>
    <w:p w14:paraId="0E49CD94">
      <w:pPr>
        <w:pStyle w:val="3"/>
        <w:rPr>
          <w:rFonts w:hint="eastAsia" w:ascii="宋体" w:hAnsi="宋体" w:cs="宋体"/>
          <w:kern w:val="0"/>
          <w:sz w:val="28"/>
          <w:szCs w:val="28"/>
        </w:rPr>
      </w:pPr>
    </w:p>
    <w:p w14:paraId="41DA7FB5">
      <w:pPr>
        <w:rPr>
          <w:rFonts w:hint="eastAsia" w:ascii="宋体" w:hAnsi="宋体" w:cs="宋体"/>
          <w:kern w:val="0"/>
          <w:sz w:val="28"/>
          <w:szCs w:val="28"/>
        </w:rPr>
      </w:pPr>
    </w:p>
    <w:p w14:paraId="126B1721">
      <w:pPr>
        <w:rPr>
          <w:rFonts w:hint="eastAsia"/>
        </w:rPr>
      </w:pPr>
    </w:p>
    <w:p w14:paraId="0756D6B0">
      <w:pPr>
        <w:pStyle w:val="154"/>
        <w:spacing w:before="312" w:after="312" w:line="320" w:lineRule="atLeast"/>
        <w:rPr>
          <w:rFonts w:hint="eastAsia" w:ascii="宋体" w:eastAsia="宋体" w:cs="宋体"/>
          <w:color w:val="000000" w:themeColor="text1"/>
          <w:sz w:val="36"/>
          <w:szCs w:val="36"/>
          <w:lang w:eastAsia="zh-CN"/>
        </w:rPr>
      </w:pPr>
      <w:r>
        <w:rPr>
          <w:rFonts w:hint="eastAsia" w:ascii="宋体" w:eastAsia="宋体" w:cs="宋体"/>
          <w:color w:val="000000" w:themeColor="text1"/>
          <w:sz w:val="36"/>
          <w:szCs w:val="36"/>
          <w:lang w:eastAsia="zh-CN"/>
        </w:rPr>
        <w:t>第五章 合同签订与验收</w:t>
      </w:r>
    </w:p>
    <w:p w14:paraId="2B73B111">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一、成交参选人和采购人在接到《成交通知书》后30日内按照采购文件确定的事项签订采购合同。</w:t>
      </w:r>
      <w:r>
        <w:rPr>
          <w:rFonts w:hint="eastAsia" w:ascii="宋体" w:hAnsi="宋体" w:eastAsia="宋体" w:cs="宋体"/>
          <w:sz w:val="28"/>
          <w:szCs w:val="28"/>
          <w:lang w:val="zh-CN" w:eastAsia="zh-CN"/>
        </w:rPr>
        <w:t>所签合同不得对采购文件作实质性修改</w:t>
      </w:r>
      <w:r>
        <w:rPr>
          <w:rFonts w:hint="eastAsia" w:ascii="宋体" w:hAnsi="宋体" w:eastAsia="宋体" w:cs="宋体"/>
          <w:sz w:val="28"/>
          <w:szCs w:val="28"/>
          <w:lang w:val="en-US" w:eastAsia="zh-CN"/>
        </w:rPr>
        <w:t>。采购人不得向成交参选人提出不合理的要求作为签订合同的条件，不得与成交参选人私下订立背离采购文件实质性内容的协议。</w:t>
      </w:r>
      <w:bookmarkStart w:id="3" w:name="_Toc94585343"/>
      <w:bookmarkStart w:id="4" w:name="_Toc363573858"/>
    </w:p>
    <w:p w14:paraId="74B666A4">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二、采购文件、成交人的响应文件及评审过程中有关书面澄清、承诺等均应作为合同附件，具有同等的法律效力。</w:t>
      </w:r>
    </w:p>
    <w:p w14:paraId="59CD6C61">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三、成交人不得采用转包、分包的形式履行合同，否则，采购人有权终止合同，造成采购人损失的，成交人应承担相应赔偿责任。</w:t>
      </w:r>
    </w:p>
    <w:bookmarkEnd w:id="3"/>
    <w:bookmarkEnd w:id="4"/>
    <w:p w14:paraId="69B166D3">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四、采购人和成交人应相互配合，按采购合同约定积极组织本项目的实施，确保项目按时完成。</w:t>
      </w:r>
    </w:p>
    <w:p w14:paraId="1FB895EA">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五、成交人履约到位后，应以书面形式向采购人提出验收申请。采购人接到申请后应及时组织验收。</w:t>
      </w:r>
    </w:p>
    <w:p w14:paraId="06070F28">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5AA0EE53">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七、最终以双方签订的采购合同内确定的条款为准。</w:t>
      </w:r>
    </w:p>
    <w:p w14:paraId="4B2AEC9B">
      <w:pPr>
        <w:spacing w:line="540" w:lineRule="exact"/>
        <w:ind w:firstLine="510"/>
        <w:rPr>
          <w:rFonts w:ascii="Times New Roman" w:hAnsi="Times New Roman" w:eastAsia="方正仿宋_GBK"/>
          <w:kern w:val="0"/>
          <w:sz w:val="32"/>
          <w:szCs w:val="32"/>
        </w:rPr>
      </w:pPr>
    </w:p>
    <w:p w14:paraId="5E2FDF81">
      <w:pPr>
        <w:pStyle w:val="154"/>
        <w:spacing w:before="312" w:after="312" w:line="320" w:lineRule="atLeast"/>
        <w:rPr>
          <w:rFonts w:hint="eastAsia" w:ascii="宋体" w:eastAsia="宋体" w:cs="宋体"/>
          <w:color w:val="000000" w:themeColor="text1"/>
          <w:sz w:val="36"/>
          <w:szCs w:val="36"/>
          <w:lang w:eastAsia="zh-CN"/>
        </w:rPr>
      </w:pPr>
      <w:r>
        <w:rPr>
          <w:rFonts w:ascii="宋体" w:eastAsia="宋体"/>
          <w:b w:val="0"/>
          <w:bCs w:val="0"/>
          <w:color w:val="000000"/>
          <w:kern w:val="2"/>
          <w:sz w:val="36"/>
          <w:szCs w:val="36"/>
        </w:rPr>
        <w:br w:type="page"/>
      </w:r>
      <w:r>
        <w:rPr>
          <w:rFonts w:hint="eastAsia" w:ascii="宋体" w:eastAsia="宋体" w:cs="宋体"/>
          <w:color w:val="000000" w:themeColor="text1"/>
          <w:sz w:val="36"/>
          <w:szCs w:val="36"/>
          <w:lang w:eastAsia="zh-CN"/>
        </w:rPr>
        <w:t>第六章 质疑与投诉</w:t>
      </w:r>
    </w:p>
    <w:bookmarkEnd w:id="0"/>
    <w:p w14:paraId="097DD01D">
      <w:pPr>
        <w:snapToGrid w:val="0"/>
        <w:spacing w:line="460" w:lineRule="exact"/>
        <w:ind w:firstLine="562" w:firstLineChars="200"/>
        <w:rPr>
          <w:rFonts w:hint="eastAsia" w:ascii="宋体" w:hAnsi="宋体" w:cs="宋体"/>
          <w:b/>
          <w:sz w:val="28"/>
          <w:szCs w:val="28"/>
        </w:rPr>
      </w:pPr>
      <w:r>
        <w:rPr>
          <w:rFonts w:hint="eastAsia" w:ascii="宋体" w:hAnsi="宋体" w:cs="宋体"/>
          <w:b/>
          <w:sz w:val="28"/>
          <w:szCs w:val="28"/>
        </w:rPr>
        <w:t>一、质疑的提出</w:t>
      </w:r>
    </w:p>
    <w:p w14:paraId="2D586E83">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1、质疑人必须是直接参加本次投标活动的当事人。</w:t>
      </w:r>
    </w:p>
    <w:p w14:paraId="29C68C03">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下载比选文件的供应商应认真审阅比选文件中所有的事项、格式、条款和规范要求等，如果参选供应商没有按照比选文件要求提交比选响应文件，或者比选响应文件没有对比选文件做出实质性响应，将被拒绝参与投标。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14:paraId="4AE32F82">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14:paraId="2AB3B883">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7EE11882">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对不能提供相关佐证材料的、涉及商业秘密的、非书面形式的、非送达的、匿名的《质疑函》将不予受理。</w:t>
      </w:r>
    </w:p>
    <w:p w14:paraId="5A7F819C">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相关佐证材料要具备客观性、关联性、合法性，无法查实的（如宣传册、媒体报道、猜测、推理等）不能作为佐证材料。</w:t>
      </w:r>
    </w:p>
    <w:p w14:paraId="134C4358">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采购单位不负责搜集相关佐证材料等工作。</w:t>
      </w:r>
    </w:p>
    <w:p w14:paraId="769AF6A1">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二、《质疑函》的受理和回复</w:t>
      </w:r>
    </w:p>
    <w:p w14:paraId="08971CA5">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1、《质疑函》须由质疑人的法定代表人或参加本次投标授权人送达采购单位。</w:t>
      </w:r>
    </w:p>
    <w:p w14:paraId="2931F8D9">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14:paraId="32701535">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3、对不符合提出质疑要求的，出具《质疑退回通知书》并提出相关补充材料要求，质疑人未在规定的时间内提供补充佐证材料的，视同放弃质疑。</w:t>
      </w:r>
    </w:p>
    <w:p w14:paraId="704C645C">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4、采购单位负责将质疑人提出的质疑相关材料提供给相关专家或评标小组审核，并将审核意见回复质疑人。</w:t>
      </w:r>
    </w:p>
    <w:p w14:paraId="017E7EDA">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70AC4002">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5、因质疑情况复杂，组织论证或审查时间较长的，采购单位以书面形式通知质疑人，可适当延长质疑回复处理时间。</w:t>
      </w:r>
    </w:p>
    <w:p w14:paraId="57112A38">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三、质疑处理</w:t>
      </w:r>
    </w:p>
    <w:p w14:paraId="521523E7">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1、质疑成立的处理。采购单位终止采购，并建议有关部门给相关当事人予以处理。</w:t>
      </w:r>
    </w:p>
    <w:p w14:paraId="686DDDE4">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2、质疑不成立的处理。</w:t>
      </w:r>
    </w:p>
    <w:p w14:paraId="0BBCBD57">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（1）质疑人书面提供《申请撤回质疑函》的，不作违约处理。</w:t>
      </w:r>
    </w:p>
    <w:p w14:paraId="5B49FB58">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（2）质疑人在规定的时间内不配合进行质疑调查处理的，按自动撤回《质疑函》处理。</w:t>
      </w:r>
    </w:p>
    <w:p w14:paraId="0DB7F3A4">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（3）质疑人不按《质疑函》格式就提出质疑的，作违约处理。同时，视情列入不良供应商名单。</w:t>
      </w:r>
    </w:p>
    <w:p w14:paraId="03CAD313">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（4）质疑人虽提供了相关佐证材料，但不能证明其质疑成立的，采购单位请质疑人补充相关佐证材料，仍不能证明其质疑成立的，作违约处理。并将其列入不良供应商名单。</w:t>
      </w:r>
    </w:p>
    <w:p w14:paraId="28919544">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（5）质疑人不能提供相关佐证材料的，采购单位已指出，质疑人仍然坚持提出质疑的，作违约处理。同时，列入不良供应商名单。</w:t>
      </w:r>
    </w:p>
    <w:p w14:paraId="56DA34DE">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14:paraId="25406F30">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（7）质疑人承担使用虚假材料或恶意方式质疑的法律责任。</w:t>
      </w:r>
    </w:p>
    <w:p w14:paraId="57C36189">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14:paraId="7D31C4EB">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14:paraId="0D38D018">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六、《质疑函》、《质疑回复函》，质疑、举报、投诉不成立的等相关情况，视情在相关媒体予以披露。并建议相关政府采购机构对该供应商同步实施1至3年内禁入。</w:t>
      </w:r>
    </w:p>
    <w:p w14:paraId="6D5F23AC">
      <w:pPr>
        <w:adjustRightInd w:val="0"/>
        <w:snapToGrid w:val="0"/>
        <w:spacing w:line="4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七、质疑供应商对采购单位的答复不满意或者采购单位未在规定的时间内作出答复的，可以在答复期满后15个工作日内向相关监督管理部门投诉。</w:t>
      </w:r>
    </w:p>
    <w:p w14:paraId="367F930F">
      <w:pPr>
        <w:pStyle w:val="154"/>
        <w:spacing w:before="312" w:after="312" w:line="320" w:lineRule="atLeast"/>
        <w:rPr>
          <w:rFonts w:hint="eastAsia" w:ascii="宋体" w:hAnsi="宋体" w:eastAsia="宋体" w:cs="宋体"/>
          <w:color w:val="000000" w:themeColor="text1"/>
          <w:sz w:val="36"/>
          <w:szCs w:val="36"/>
          <w:lang w:eastAsia="zh-CN"/>
        </w:rPr>
      </w:pPr>
      <w:r>
        <w:rPr>
          <w:rFonts w:hint="eastAsia" w:ascii="宋体" w:hAnsi="宋体" w:eastAsia="宋体" w:cs="宋体"/>
          <w:sz w:val="28"/>
          <w:szCs w:val="28"/>
          <w:lang w:val="en-US" w:eastAsia="zh-CN"/>
        </w:rPr>
        <w:br w:type="page"/>
      </w:r>
      <w:r>
        <w:rPr>
          <w:rFonts w:hint="eastAsia" w:ascii="宋体" w:hAnsi="宋体" w:eastAsia="宋体" w:cs="宋体"/>
          <w:color w:val="000000" w:themeColor="text1"/>
          <w:sz w:val="36"/>
          <w:szCs w:val="36"/>
          <w:lang w:eastAsia="zh-CN"/>
        </w:rPr>
        <w:t>第七章 比选响应文件组成及格式</w:t>
      </w:r>
    </w:p>
    <w:p w14:paraId="7D3EAE12">
      <w:pPr>
        <w:adjustRightInd w:val="0"/>
        <w:snapToGrid w:val="0"/>
        <w:spacing w:line="460" w:lineRule="exact"/>
        <w:ind w:firstLine="562" w:firstLineChars="200"/>
        <w:jc w:val="left"/>
        <w:rPr>
          <w:rFonts w:hint="eastAsia" w:ascii="宋体" w:hAnsi="宋体" w:cs="宋体"/>
          <w:b/>
          <w:sz w:val="28"/>
          <w:szCs w:val="28"/>
        </w:rPr>
      </w:pPr>
      <w:r>
        <w:rPr>
          <w:rFonts w:hint="eastAsia" w:ascii="宋体" w:hAnsi="宋体" w:cs="宋体"/>
          <w:b/>
          <w:sz w:val="28"/>
          <w:szCs w:val="28"/>
        </w:rPr>
        <w:t>响应文件由</w:t>
      </w:r>
      <w:r>
        <w:rPr>
          <w:rFonts w:hint="eastAsia" w:ascii="宋体" w:hAnsi="宋体" w:cs="宋体"/>
          <w:b/>
          <w:sz w:val="28"/>
          <w:szCs w:val="28"/>
          <w:lang w:eastAsia="zh-CN"/>
        </w:rPr>
        <w:t>资格审查文件</w:t>
      </w:r>
      <w:r>
        <w:rPr>
          <w:rFonts w:hint="eastAsia" w:ascii="宋体" w:hAnsi="宋体" w:cs="宋体"/>
          <w:b/>
          <w:sz w:val="28"/>
          <w:szCs w:val="28"/>
        </w:rPr>
        <w:t>、商务技术文件、价格文件、电子文件四部分组成。</w:t>
      </w:r>
    </w:p>
    <w:p w14:paraId="23697448">
      <w:pPr>
        <w:adjustRightInd w:val="0"/>
        <w:snapToGrid w:val="0"/>
        <w:spacing w:line="460" w:lineRule="exact"/>
        <w:ind w:firstLine="562" w:firstLineChars="200"/>
        <w:rPr>
          <w:rFonts w:hint="eastAsia" w:ascii="宋体" w:hAnsi="宋体" w:cs="宋体"/>
          <w:b/>
          <w:bCs/>
          <w:kern w:val="0"/>
          <w:sz w:val="28"/>
          <w:szCs w:val="28"/>
          <w:lang w:val="zh-CN"/>
        </w:rPr>
      </w:pPr>
      <w:r>
        <w:rPr>
          <w:rFonts w:hint="eastAsia" w:ascii="宋体" w:hAnsi="宋体" w:cs="宋体"/>
          <w:b/>
          <w:bCs/>
          <w:kern w:val="0"/>
          <w:sz w:val="28"/>
          <w:szCs w:val="28"/>
          <w:lang w:val="zh-CN"/>
        </w:rPr>
        <w:t>一、资格审查文件（不能出现商务技术文件、价格文件）</w:t>
      </w:r>
    </w:p>
    <w:p w14:paraId="1EAE5A5D">
      <w:pPr>
        <w:adjustRightInd w:val="0"/>
        <w:snapToGrid w:val="0"/>
        <w:spacing w:line="460" w:lineRule="exact"/>
        <w:ind w:firstLine="560" w:firstLineChars="200"/>
        <w:rPr>
          <w:rFonts w:hint="default"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1.供应商符合本项目资格要求，提供“符合本项目投标人资格要求的承诺函”（格式见附件1）</w:t>
      </w:r>
    </w:p>
    <w:p w14:paraId="0C51DBFD">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en-US" w:eastAsia="zh-CN"/>
        </w:rPr>
        <w:t>2</w:t>
      </w:r>
      <w:r>
        <w:rPr>
          <w:rFonts w:hint="eastAsia" w:ascii="宋体" w:hAnsi="宋体" w:eastAsia="宋体" w:cs="宋体"/>
          <w:bCs/>
          <w:kern w:val="0"/>
          <w:sz w:val="28"/>
          <w:szCs w:val="28"/>
          <w:lang w:val="zh-CN"/>
        </w:rPr>
        <w:t>.法定代表人身份证明书（法定代表人参加</w:t>
      </w:r>
      <w:r>
        <w:rPr>
          <w:rFonts w:hint="eastAsia" w:ascii="宋体" w:hAnsi="宋体" w:eastAsia="宋体" w:cs="宋体"/>
          <w:bCs/>
          <w:kern w:val="0"/>
          <w:sz w:val="28"/>
          <w:szCs w:val="28"/>
          <w:lang w:val="zh-CN" w:eastAsia="zh-Hans"/>
        </w:rPr>
        <w:t>的</w:t>
      </w:r>
      <w:r>
        <w:rPr>
          <w:rFonts w:hint="eastAsia" w:ascii="宋体" w:hAnsi="宋体" w:eastAsia="宋体" w:cs="宋体"/>
          <w:bCs/>
          <w:kern w:val="0"/>
          <w:sz w:val="28"/>
          <w:szCs w:val="28"/>
          <w:lang w:val="zh-CN"/>
        </w:rPr>
        <w:t>，则提供，格式见附件</w:t>
      </w:r>
      <w:r>
        <w:rPr>
          <w:rFonts w:hint="eastAsia" w:ascii="宋体" w:hAnsi="宋体" w:eastAsia="宋体" w:cs="宋体"/>
          <w:bCs/>
          <w:kern w:val="0"/>
          <w:sz w:val="28"/>
          <w:szCs w:val="28"/>
          <w:lang w:val="en-US" w:eastAsia="zh-CN"/>
        </w:rPr>
        <w:t>2</w:t>
      </w:r>
      <w:r>
        <w:rPr>
          <w:rFonts w:hint="eastAsia" w:ascii="宋体" w:hAnsi="宋体" w:eastAsia="宋体" w:cs="宋体"/>
          <w:bCs/>
          <w:kern w:val="0"/>
          <w:sz w:val="28"/>
          <w:szCs w:val="28"/>
          <w:lang w:val="zh-CN"/>
        </w:rPr>
        <w:t>）；</w:t>
      </w:r>
    </w:p>
    <w:p w14:paraId="178A3FC6">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en-US" w:eastAsia="zh-CN"/>
        </w:rPr>
        <w:t>3</w:t>
      </w:r>
      <w:r>
        <w:rPr>
          <w:rFonts w:hint="eastAsia" w:ascii="宋体" w:hAnsi="宋体" w:eastAsia="宋体" w:cs="宋体"/>
          <w:bCs/>
          <w:kern w:val="0"/>
          <w:sz w:val="28"/>
          <w:szCs w:val="28"/>
          <w:lang w:val="zh-CN"/>
        </w:rPr>
        <w:t>.法定代表人授权委托书（授权代表参加的，则提供，格式见附件</w:t>
      </w:r>
      <w:r>
        <w:rPr>
          <w:rFonts w:hint="eastAsia" w:ascii="宋体" w:hAnsi="宋体" w:eastAsia="宋体" w:cs="宋体"/>
          <w:bCs/>
          <w:kern w:val="0"/>
          <w:sz w:val="28"/>
          <w:szCs w:val="28"/>
          <w:lang w:val="en-US" w:eastAsia="zh-CN"/>
        </w:rPr>
        <w:t>3</w:t>
      </w:r>
      <w:r>
        <w:rPr>
          <w:rFonts w:hint="eastAsia" w:ascii="宋体" w:hAnsi="宋体" w:eastAsia="宋体" w:cs="宋体"/>
          <w:bCs/>
          <w:kern w:val="0"/>
          <w:sz w:val="28"/>
          <w:szCs w:val="28"/>
          <w:lang w:val="zh-CN"/>
        </w:rPr>
        <w:t>）；</w:t>
      </w:r>
    </w:p>
    <w:p w14:paraId="5BE88504">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en-US" w:eastAsia="zh-CN"/>
        </w:rPr>
        <w:t>4</w:t>
      </w:r>
      <w:r>
        <w:rPr>
          <w:rFonts w:hint="eastAsia" w:ascii="宋体" w:hAnsi="宋体" w:eastAsia="宋体" w:cs="宋体"/>
          <w:bCs/>
          <w:kern w:val="0"/>
          <w:sz w:val="28"/>
          <w:szCs w:val="28"/>
          <w:lang w:val="zh-CN"/>
        </w:rPr>
        <w:t>.供应商必须具有独立的法人资格，提供有效的营业执照及税务登记证（或者是三证合一的营业执照）复印件加盖公章；</w:t>
      </w:r>
    </w:p>
    <w:p w14:paraId="022F690A">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en-US" w:eastAsia="zh-CN"/>
        </w:rPr>
        <w:t>5</w:t>
      </w:r>
      <w:r>
        <w:rPr>
          <w:rFonts w:hint="eastAsia" w:ascii="宋体" w:hAnsi="宋体" w:eastAsia="宋体" w:cs="宋体"/>
          <w:bCs/>
          <w:kern w:val="0"/>
          <w:sz w:val="28"/>
          <w:szCs w:val="28"/>
          <w:lang w:val="zh-CN"/>
        </w:rPr>
        <w:t>.供应商具备有效的特种设备安装改造维修许可证（包含乘客电梯安装改造维修种类）或特种设备生产许可证（包含乘客电梯安装修理）</w:t>
      </w:r>
      <w:r>
        <w:rPr>
          <w:rFonts w:hint="eastAsia" w:ascii="宋体" w:hAnsi="宋体" w:eastAsia="宋体" w:cs="宋体"/>
          <w:bCs/>
          <w:kern w:val="0"/>
          <w:sz w:val="28"/>
          <w:szCs w:val="28"/>
          <w:lang w:val="zh-CN" w:eastAsia="zh-CN"/>
        </w:rPr>
        <w:t>，</w:t>
      </w:r>
      <w:r>
        <w:rPr>
          <w:rFonts w:hint="eastAsia" w:ascii="宋体" w:hAnsi="宋体" w:eastAsia="宋体" w:cs="宋体"/>
          <w:bCs/>
          <w:kern w:val="0"/>
          <w:sz w:val="28"/>
          <w:szCs w:val="28"/>
          <w:lang w:val="en-US" w:eastAsia="zh-CN"/>
        </w:rPr>
        <w:t>提供资质证书</w:t>
      </w:r>
      <w:r>
        <w:rPr>
          <w:rFonts w:hint="eastAsia" w:ascii="宋体" w:hAnsi="宋体" w:eastAsia="宋体" w:cs="宋体"/>
          <w:bCs/>
          <w:kern w:val="0"/>
          <w:sz w:val="28"/>
          <w:szCs w:val="28"/>
          <w:lang w:val="zh-CN"/>
        </w:rPr>
        <w:t>复印件加盖公章</w:t>
      </w:r>
      <w:r>
        <w:rPr>
          <w:rFonts w:hint="eastAsia" w:ascii="宋体" w:hAnsi="宋体" w:eastAsia="宋体" w:cs="宋体"/>
          <w:bCs/>
          <w:kern w:val="0"/>
          <w:sz w:val="28"/>
          <w:szCs w:val="28"/>
          <w:lang w:val="zh-CN" w:eastAsia="zh-CN"/>
        </w:rPr>
        <w:t>；</w:t>
      </w:r>
    </w:p>
    <w:p w14:paraId="6EE56200">
      <w:pPr>
        <w:adjustRightInd w:val="0"/>
        <w:snapToGrid w:val="0"/>
        <w:spacing w:line="460" w:lineRule="exact"/>
        <w:ind w:firstLine="560" w:firstLineChars="200"/>
        <w:rPr>
          <w:rFonts w:hint="eastAsia" w:ascii="宋体" w:hAnsi="宋体" w:eastAsia="宋体" w:cs="宋体"/>
          <w:bCs/>
          <w:kern w:val="0"/>
          <w:sz w:val="28"/>
          <w:szCs w:val="28"/>
          <w:lang w:val="zh-CN"/>
        </w:rPr>
      </w:pPr>
      <w:r>
        <w:rPr>
          <w:rFonts w:hint="eastAsia" w:ascii="宋体" w:hAnsi="宋体" w:eastAsia="宋体" w:cs="宋体"/>
          <w:bCs/>
          <w:kern w:val="0"/>
          <w:sz w:val="28"/>
          <w:szCs w:val="28"/>
          <w:lang w:val="en-US" w:eastAsia="zh-CN"/>
        </w:rPr>
        <w:t>6</w:t>
      </w:r>
      <w:r>
        <w:rPr>
          <w:rFonts w:hint="eastAsia" w:ascii="宋体" w:hAnsi="宋体" w:eastAsia="宋体" w:cs="宋体"/>
          <w:bCs/>
          <w:kern w:val="0"/>
          <w:sz w:val="28"/>
          <w:szCs w:val="28"/>
          <w:lang w:val="zh-CN"/>
        </w:rPr>
        <w:t>.未被“信用中国”网站列入失信被执行人、重大税收违法案件当事人名单、采购不良行为记录名单，提供无重大违法记录声明（格式见附件4）。</w:t>
      </w:r>
    </w:p>
    <w:p w14:paraId="4F23B25F">
      <w:pPr>
        <w:adjustRightInd w:val="0"/>
        <w:snapToGrid w:val="0"/>
        <w:spacing w:line="460" w:lineRule="exact"/>
        <w:ind w:firstLine="562" w:firstLineChars="200"/>
        <w:rPr>
          <w:rFonts w:hint="eastAsia" w:ascii="宋体" w:hAnsi="宋体" w:cs="宋体"/>
          <w:b/>
          <w:bCs/>
          <w:kern w:val="0"/>
          <w:sz w:val="28"/>
          <w:szCs w:val="28"/>
          <w:lang w:val="zh-CN"/>
        </w:rPr>
      </w:pPr>
      <w:r>
        <w:rPr>
          <w:rFonts w:hint="eastAsia" w:ascii="宋体" w:hAnsi="宋体" w:cs="宋体"/>
          <w:b/>
          <w:bCs/>
          <w:kern w:val="0"/>
          <w:sz w:val="28"/>
          <w:szCs w:val="28"/>
          <w:lang w:val="zh-CN"/>
        </w:rPr>
        <w:t>二、商务技术文件（不能出现价格文件）</w:t>
      </w:r>
    </w:p>
    <w:p w14:paraId="58097425">
      <w:pPr>
        <w:adjustRightInd w:val="0"/>
        <w:snapToGrid w:val="0"/>
        <w:spacing w:line="460" w:lineRule="exact"/>
        <w:ind w:firstLine="560" w:firstLineChars="200"/>
        <w:rPr>
          <w:rFonts w:hint="default" w:ascii="宋体" w:hAnsi="宋体" w:eastAsia="宋体" w:cs="宋体"/>
          <w:bCs/>
          <w:kern w:val="0"/>
          <w:sz w:val="28"/>
          <w:szCs w:val="28"/>
          <w:lang w:val="en-US" w:eastAsia="zh-CN"/>
        </w:rPr>
      </w:pPr>
      <w:r>
        <w:rPr>
          <w:rFonts w:hint="eastAsia" w:ascii="宋体" w:hAnsi="宋体" w:cs="宋体"/>
          <w:bCs/>
          <w:kern w:val="0"/>
          <w:sz w:val="28"/>
          <w:szCs w:val="28"/>
          <w:lang w:val="en-US" w:eastAsia="zh-CN"/>
        </w:rPr>
        <w:t>1.</w:t>
      </w:r>
      <w:r>
        <w:rPr>
          <w:rFonts w:hint="eastAsia" w:ascii="Times New Roman" w:hAnsi="Times New Roman" w:cs="宋体"/>
          <w:sz w:val="28"/>
          <w:szCs w:val="28"/>
        </w:rPr>
        <w:t>技术比选响应函</w:t>
      </w:r>
      <w:r>
        <w:rPr>
          <w:rFonts w:hint="eastAsia" w:ascii="Times New Roman" w:hAnsi="Times New Roman" w:cs="宋体"/>
          <w:spacing w:val="7"/>
          <w:sz w:val="28"/>
          <w:szCs w:val="28"/>
          <w:shd w:val="clear" w:color="auto" w:fill="FFFFFF"/>
        </w:rPr>
        <w:t>（格式见附件</w:t>
      </w:r>
      <w:r>
        <w:rPr>
          <w:rFonts w:hint="eastAsia" w:ascii="Times New Roman" w:hAnsi="Times New Roman" w:cs="宋体"/>
          <w:spacing w:val="7"/>
          <w:sz w:val="28"/>
          <w:szCs w:val="28"/>
          <w:shd w:val="clear" w:color="auto" w:fill="FFFFFF"/>
          <w:lang w:val="en-US" w:eastAsia="zh-CN"/>
        </w:rPr>
        <w:t>5</w:t>
      </w:r>
      <w:r>
        <w:rPr>
          <w:rFonts w:hint="eastAsia" w:ascii="Times New Roman" w:hAnsi="Times New Roman" w:cs="宋体"/>
          <w:spacing w:val="7"/>
          <w:sz w:val="28"/>
          <w:szCs w:val="28"/>
          <w:shd w:val="clear" w:color="auto" w:fill="FFFFFF"/>
        </w:rPr>
        <w:t>）</w:t>
      </w:r>
    </w:p>
    <w:p w14:paraId="149382F5">
      <w:pPr>
        <w:adjustRightInd w:val="0"/>
        <w:snapToGrid w:val="0"/>
        <w:spacing w:line="460" w:lineRule="exact"/>
        <w:ind w:firstLine="560" w:firstLineChars="200"/>
        <w:rPr>
          <w:rFonts w:hint="eastAsia" w:ascii="宋体" w:hAnsi="宋体" w:cs="宋体"/>
          <w:bCs/>
          <w:kern w:val="0"/>
          <w:sz w:val="28"/>
          <w:szCs w:val="28"/>
          <w:lang w:val="zh-CN"/>
        </w:rPr>
      </w:pPr>
      <w:r>
        <w:rPr>
          <w:rFonts w:hint="eastAsia" w:ascii="宋体" w:hAnsi="宋体" w:cs="宋体"/>
          <w:bCs/>
          <w:kern w:val="0"/>
          <w:sz w:val="28"/>
          <w:szCs w:val="28"/>
          <w:lang w:val="en-US" w:eastAsia="zh-CN"/>
        </w:rPr>
        <w:t>2</w:t>
      </w:r>
      <w:r>
        <w:rPr>
          <w:rFonts w:hint="eastAsia" w:ascii="宋体" w:hAnsi="宋体" w:cs="宋体"/>
          <w:bCs/>
          <w:kern w:val="0"/>
          <w:sz w:val="28"/>
          <w:szCs w:val="28"/>
          <w:lang w:val="zh-CN"/>
        </w:rPr>
        <w:t>.服务方案；</w:t>
      </w:r>
    </w:p>
    <w:p w14:paraId="5CE3BAB5">
      <w:pPr>
        <w:adjustRightInd w:val="0"/>
        <w:snapToGrid w:val="0"/>
        <w:spacing w:line="460" w:lineRule="exact"/>
        <w:ind w:firstLine="560" w:firstLineChars="200"/>
        <w:rPr>
          <w:rFonts w:hint="eastAsia" w:ascii="宋体" w:hAnsi="宋体" w:cs="宋体"/>
          <w:bCs/>
          <w:kern w:val="0"/>
          <w:sz w:val="28"/>
          <w:szCs w:val="28"/>
          <w:lang w:val="zh-CN"/>
        </w:rPr>
      </w:pPr>
      <w:r>
        <w:rPr>
          <w:rFonts w:hint="eastAsia" w:ascii="宋体" w:hAnsi="宋体" w:cs="宋体"/>
          <w:bCs/>
          <w:kern w:val="0"/>
          <w:sz w:val="28"/>
          <w:szCs w:val="28"/>
          <w:lang w:val="en-US" w:eastAsia="zh-CN"/>
        </w:rPr>
        <w:t>3</w:t>
      </w:r>
      <w:r>
        <w:rPr>
          <w:rFonts w:hint="eastAsia" w:ascii="宋体" w:hAnsi="宋体" w:cs="宋体"/>
          <w:bCs/>
          <w:kern w:val="0"/>
          <w:sz w:val="28"/>
          <w:szCs w:val="28"/>
          <w:lang w:val="zh-CN"/>
        </w:rPr>
        <w:t>.商务技术评分标准中须提供的相关得分佐证材料；</w:t>
      </w:r>
    </w:p>
    <w:p w14:paraId="2EFAB91E">
      <w:pPr>
        <w:adjustRightInd w:val="0"/>
        <w:snapToGrid w:val="0"/>
        <w:spacing w:line="460" w:lineRule="exact"/>
        <w:ind w:firstLine="560" w:firstLineChars="200"/>
        <w:rPr>
          <w:rFonts w:hint="eastAsia" w:ascii="宋体" w:hAnsi="宋体" w:cs="宋体"/>
          <w:bCs/>
          <w:kern w:val="0"/>
          <w:sz w:val="28"/>
          <w:szCs w:val="28"/>
          <w:lang w:val="zh-CN"/>
        </w:rPr>
      </w:pPr>
      <w:r>
        <w:rPr>
          <w:rFonts w:hint="eastAsia" w:ascii="宋体" w:hAnsi="宋体" w:cs="宋体"/>
          <w:bCs/>
          <w:kern w:val="0"/>
          <w:sz w:val="28"/>
          <w:szCs w:val="28"/>
          <w:lang w:val="en-US" w:eastAsia="zh-CN"/>
        </w:rPr>
        <w:t>4</w:t>
      </w:r>
      <w:r>
        <w:rPr>
          <w:rFonts w:hint="eastAsia" w:ascii="宋体" w:hAnsi="宋体" w:cs="宋体"/>
          <w:bCs/>
          <w:kern w:val="0"/>
          <w:sz w:val="28"/>
          <w:szCs w:val="28"/>
          <w:lang w:val="zh-CN"/>
        </w:rPr>
        <w:t>.供应商认为需要提交的其他商务技术材料。</w:t>
      </w:r>
    </w:p>
    <w:p w14:paraId="5CD4DC17">
      <w:pPr>
        <w:adjustRightInd w:val="0"/>
        <w:snapToGrid w:val="0"/>
        <w:spacing w:line="460" w:lineRule="exact"/>
        <w:ind w:firstLine="562" w:firstLineChars="200"/>
        <w:rPr>
          <w:rFonts w:hint="eastAsia" w:ascii="宋体" w:hAnsi="宋体" w:cs="宋体"/>
          <w:b/>
          <w:bCs/>
          <w:kern w:val="0"/>
          <w:sz w:val="28"/>
          <w:szCs w:val="28"/>
          <w:lang w:val="zh-CN"/>
        </w:rPr>
      </w:pPr>
      <w:r>
        <w:rPr>
          <w:rFonts w:hint="eastAsia" w:ascii="宋体" w:hAnsi="宋体" w:cs="宋体"/>
          <w:b/>
          <w:bCs/>
          <w:kern w:val="0"/>
          <w:sz w:val="28"/>
          <w:szCs w:val="28"/>
          <w:lang w:val="zh-CN"/>
        </w:rPr>
        <w:t>三、价格文件</w:t>
      </w:r>
    </w:p>
    <w:p w14:paraId="04AF49CE">
      <w:pPr>
        <w:adjustRightInd w:val="0"/>
        <w:snapToGrid w:val="0"/>
        <w:spacing w:line="4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lang w:val="zh-CN"/>
        </w:rPr>
        <w:t>1.</w:t>
      </w:r>
      <w:r>
        <w:rPr>
          <w:rFonts w:hint="eastAsia" w:ascii="宋体" w:hAnsi="宋体" w:cs="宋体"/>
          <w:kern w:val="0"/>
          <w:sz w:val="28"/>
          <w:szCs w:val="28"/>
        </w:rPr>
        <w:t>报价总表</w:t>
      </w:r>
      <w:r>
        <w:rPr>
          <w:rFonts w:hint="eastAsia" w:ascii="宋体" w:hAnsi="宋体" w:cs="宋体"/>
          <w:kern w:val="0"/>
          <w:sz w:val="28"/>
          <w:szCs w:val="28"/>
          <w:lang w:val="zh-CN"/>
        </w:rPr>
        <w:t>（格式见附件</w:t>
      </w:r>
      <w:r>
        <w:rPr>
          <w:rFonts w:hint="eastAsia" w:ascii="宋体" w:hAnsi="宋体" w:cs="宋体"/>
          <w:kern w:val="0"/>
          <w:sz w:val="28"/>
          <w:szCs w:val="28"/>
          <w:lang w:val="en-US" w:eastAsia="zh-CN"/>
        </w:rPr>
        <w:t>6</w:t>
      </w:r>
      <w:r>
        <w:rPr>
          <w:rFonts w:hint="eastAsia" w:ascii="宋体" w:hAnsi="宋体" w:cs="宋体"/>
          <w:kern w:val="0"/>
          <w:sz w:val="28"/>
          <w:szCs w:val="28"/>
          <w:lang w:val="zh-CN"/>
        </w:rPr>
        <w:t>）。</w:t>
      </w:r>
    </w:p>
    <w:p w14:paraId="3C8971ED">
      <w:pPr>
        <w:pStyle w:val="212"/>
        <w:ind w:firstLine="562" w:firstLineChars="200"/>
        <w:rPr>
          <w:rFonts w:hint="eastAsia"/>
          <w:lang w:val="en-US" w:eastAsia="zh-CN"/>
        </w:rPr>
      </w:pPr>
      <w:r>
        <w:rPr>
          <w:rFonts w:hint="eastAsia" w:ascii="仿宋" w:hAnsi="仿宋" w:eastAsia="仿宋" w:cs="仿宋"/>
          <w:b/>
          <w:bCs/>
          <w:sz w:val="28"/>
          <w:szCs w:val="28"/>
          <w:u w:val="single"/>
        </w:rPr>
        <w:t>注：报价为最终报价，即本次招标项目为一次报价。</w:t>
      </w:r>
    </w:p>
    <w:p w14:paraId="16C4F586">
      <w:pPr>
        <w:adjustRightInd w:val="0"/>
        <w:snapToGrid w:val="0"/>
        <w:spacing w:line="46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四、电子文件</w:t>
      </w:r>
    </w:p>
    <w:p w14:paraId="083D9D4E">
      <w:pPr>
        <w:adjustRightInd w:val="0"/>
        <w:snapToGrid w:val="0"/>
        <w:spacing w:line="460" w:lineRule="exact"/>
        <w:ind w:firstLine="560" w:firstLineChars="200"/>
      </w:pPr>
      <w:r>
        <w:rPr>
          <w:rFonts w:hint="eastAsia" w:ascii="宋体" w:hAnsi="宋体" w:cs="宋体"/>
          <w:kern w:val="0"/>
          <w:sz w:val="28"/>
          <w:szCs w:val="28"/>
        </w:rPr>
        <w:t>提交电子响应文件一份，电子响应文件的内容为资格审查文件、商务技术文件、价格文件的打印盖章后的响应文件的扫描件（资格审查文件、商务技术文件、价格文件需分别逐页连续扫描为三个独立的PDF文件）。可以采取U盘、电子光盘两种方式中任意一种方式提交。电子响应文件内容应与提交发纸质响应文件内容一致。否则，由此产生的后果投标人自负。</w:t>
      </w:r>
    </w:p>
    <w:p w14:paraId="01EA6676">
      <w:pPr>
        <w:spacing w:line="360" w:lineRule="auto"/>
        <w:ind w:firstLine="640" w:firstLineChars="200"/>
        <w:rPr>
          <w:rFonts w:hint="eastAsia" w:ascii="宋体" w:hAnsi="宋体" w:cs="宋体"/>
          <w:color w:val="000000" w:themeColor="text1"/>
          <w:sz w:val="32"/>
          <w:szCs w:val="32"/>
        </w:rPr>
      </w:pPr>
    </w:p>
    <w:p w14:paraId="0B54CA03">
      <w:pPr>
        <w:spacing w:line="360" w:lineRule="auto"/>
        <w:ind w:firstLine="640" w:firstLineChars="200"/>
        <w:rPr>
          <w:rFonts w:hint="eastAsia" w:ascii="宋体" w:hAnsi="宋体" w:cs="宋体"/>
          <w:color w:val="000000" w:themeColor="text1"/>
          <w:sz w:val="32"/>
          <w:szCs w:val="32"/>
        </w:rPr>
      </w:pPr>
    </w:p>
    <w:p w14:paraId="14749CD9">
      <w:pPr>
        <w:spacing w:line="360" w:lineRule="auto"/>
        <w:ind w:firstLine="640" w:firstLineChars="200"/>
        <w:rPr>
          <w:rFonts w:ascii="宋体"/>
          <w:color w:val="000000" w:themeColor="text1"/>
          <w:sz w:val="24"/>
          <w:szCs w:val="24"/>
        </w:rPr>
      </w:pPr>
      <w:r>
        <w:rPr>
          <w:rFonts w:hint="eastAsia" w:ascii="宋体" w:hAnsi="宋体" w:cs="宋体"/>
          <w:color w:val="000000" w:themeColor="text1"/>
          <w:sz w:val="32"/>
          <w:szCs w:val="32"/>
        </w:rPr>
        <w:t>附件</w:t>
      </w:r>
      <w:r>
        <w:rPr>
          <w:rFonts w:hint="eastAsia" w:ascii="宋体" w:hAnsi="宋体" w:cs="宋体"/>
          <w:color w:val="000000" w:themeColor="text1"/>
          <w:sz w:val="32"/>
          <w:szCs w:val="32"/>
          <w:lang w:val="en-US" w:eastAsia="zh-CN"/>
        </w:rPr>
        <w:t>1</w:t>
      </w:r>
      <w:r>
        <w:rPr>
          <w:rFonts w:hint="eastAsia" w:ascii="宋体" w:hAnsi="宋体" w:cs="宋体"/>
          <w:color w:val="000000" w:themeColor="text1"/>
          <w:sz w:val="32"/>
          <w:szCs w:val="32"/>
        </w:rPr>
        <w:t>：</w:t>
      </w:r>
    </w:p>
    <w:p w14:paraId="59243045">
      <w:pPr>
        <w:jc w:val="center"/>
        <w:rPr>
          <w:rFonts w:hint="eastAsia" w:ascii="宋体" w:hAnsi="宋体" w:cs="宋体"/>
          <w:b/>
          <w:sz w:val="30"/>
          <w:szCs w:val="30"/>
        </w:rPr>
      </w:pPr>
      <w:r>
        <w:rPr>
          <w:rFonts w:hint="eastAsia" w:ascii="宋体" w:hAnsi="宋体" w:cs="宋体"/>
          <w:b/>
          <w:sz w:val="30"/>
          <w:szCs w:val="30"/>
        </w:rPr>
        <w:t>符合本项目投标人资格要求的承诺函</w:t>
      </w:r>
    </w:p>
    <w:p w14:paraId="66E33AFC">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656315B6">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我单位参加</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u w:val="single"/>
          <w:lang w:val="en-US" w:eastAsia="zh-CN"/>
        </w:rPr>
        <w:t xml:space="preserve">                     </w:t>
      </w:r>
      <w:r>
        <w:rPr>
          <w:rFonts w:hint="eastAsia" w:ascii="宋体" w:hAnsi="宋体" w:eastAsia="宋体" w:cs="宋体"/>
          <w:kern w:val="0"/>
          <w:sz w:val="28"/>
          <w:szCs w:val="28"/>
          <w:lang w:val="zh-CN"/>
        </w:rPr>
        <w:t>（项目名称）的投标活动。针对本项目供应商资格要求中“本项目的基本资格要求”规定做出如下声明：</w:t>
      </w:r>
    </w:p>
    <w:p w14:paraId="2930EC1B">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1.我单位具有独立承担民事责任的能力；</w:t>
      </w:r>
    </w:p>
    <w:p w14:paraId="58396CBA">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2.我单位具有良好的商业信誉和健全的财务会计制度；</w:t>
      </w:r>
    </w:p>
    <w:p w14:paraId="2B52467C">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3.我单位具有履行合同所必需的设备和专业技术能力；</w:t>
      </w:r>
    </w:p>
    <w:p w14:paraId="007C0AF8">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4.我单位有依法缴纳税收和社会保障资金的良好记录；</w:t>
      </w:r>
    </w:p>
    <w:p w14:paraId="061FBE9D">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5.我单位参加采购活动前三年内，在经营活动中没有重大违法记录；</w:t>
      </w:r>
    </w:p>
    <w:p w14:paraId="1C32BB6C">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6.我单位满足法律、行政法规规定的其他条件。</w:t>
      </w:r>
    </w:p>
    <w:p w14:paraId="151E2815">
      <w:pPr>
        <w:spacing w:line="460" w:lineRule="exact"/>
        <w:ind w:firstLine="480" w:firstLineChars="200"/>
        <w:rPr>
          <w:rFonts w:hint="eastAsia" w:ascii="宋体" w:hAnsi="宋体" w:cs="宋体"/>
          <w:sz w:val="24"/>
        </w:rPr>
      </w:pPr>
    </w:p>
    <w:p w14:paraId="3FF2F5FE">
      <w:pPr>
        <w:spacing w:line="460" w:lineRule="exact"/>
        <w:ind w:firstLine="480" w:firstLineChars="200"/>
        <w:rPr>
          <w:rFonts w:hint="eastAsia" w:ascii="宋体" w:hAnsi="宋体" w:cs="宋体"/>
          <w:sz w:val="24"/>
        </w:rPr>
      </w:pPr>
    </w:p>
    <w:p w14:paraId="58B57C93">
      <w:pPr>
        <w:spacing w:line="460" w:lineRule="exact"/>
        <w:ind w:firstLine="480" w:firstLineChars="200"/>
        <w:rPr>
          <w:rFonts w:hint="eastAsia" w:ascii="宋体" w:hAnsi="宋体" w:cs="宋体"/>
          <w:bCs/>
          <w:sz w:val="24"/>
          <w:szCs w:val="21"/>
        </w:rPr>
      </w:pPr>
    </w:p>
    <w:p w14:paraId="1B7036D5">
      <w:pPr>
        <w:spacing w:line="460" w:lineRule="exact"/>
        <w:ind w:firstLine="480" w:firstLineChars="200"/>
        <w:rPr>
          <w:rFonts w:hint="eastAsia" w:ascii="宋体" w:hAnsi="宋体" w:cs="宋体"/>
          <w:bCs/>
          <w:sz w:val="24"/>
          <w:szCs w:val="21"/>
        </w:rPr>
      </w:pPr>
    </w:p>
    <w:p w14:paraId="3640AE01">
      <w:pPr>
        <w:adjustRightInd w:val="0"/>
        <w:snapToGrid w:val="0"/>
        <w:spacing w:line="460" w:lineRule="exact"/>
        <w:ind w:firstLine="560" w:firstLineChars="200"/>
        <w:rPr>
          <w:rFonts w:hint="eastAsia" w:ascii="宋体" w:hAnsi="宋体" w:eastAsia="宋体" w:cs="宋体"/>
          <w:kern w:val="0"/>
          <w:sz w:val="28"/>
          <w:szCs w:val="28"/>
        </w:rPr>
      </w:pPr>
    </w:p>
    <w:p w14:paraId="1478BA03">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承诺人名称（公章）：</w:t>
      </w:r>
    </w:p>
    <w:p w14:paraId="3077A6A2">
      <w:pPr>
        <w:adjustRightInd w:val="0"/>
        <w:snapToGrid w:val="0"/>
        <w:spacing w:line="4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14:paraId="1B9D27B3">
      <w:pPr>
        <w:adjustRightInd w:val="0"/>
        <w:snapToGrid w:val="0"/>
        <w:spacing w:line="460" w:lineRule="exact"/>
        <w:ind w:firstLine="560" w:firstLineChars="200"/>
        <w:rPr>
          <w:rFonts w:hint="default" w:ascii="宋体" w:hAnsi="宋体" w:eastAsia="宋体" w:cs="宋体"/>
          <w:kern w:val="0"/>
          <w:sz w:val="28"/>
          <w:szCs w:val="28"/>
          <w:lang w:val="en-US"/>
        </w:rPr>
      </w:pP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日期</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 xml:space="preserve">  </w:t>
      </w:r>
    </w:p>
    <w:p w14:paraId="1B98E3CD">
      <w:pPr>
        <w:snapToGrid w:val="0"/>
        <w:spacing w:line="400" w:lineRule="exact"/>
        <w:ind w:firstLine="540" w:firstLineChars="192"/>
        <w:contextualSpacing/>
        <w:rPr>
          <w:rFonts w:hint="eastAsia" w:ascii="宋体" w:hAnsi="宋体" w:cs="宋体"/>
          <w:b/>
          <w:kern w:val="0"/>
          <w:sz w:val="28"/>
          <w:szCs w:val="28"/>
        </w:rPr>
      </w:pPr>
    </w:p>
    <w:p w14:paraId="48EC260C">
      <w:pPr>
        <w:snapToGrid w:val="0"/>
        <w:spacing w:line="400" w:lineRule="exact"/>
        <w:ind w:firstLine="540" w:firstLineChars="192"/>
        <w:contextualSpacing/>
        <w:rPr>
          <w:rFonts w:hint="eastAsia" w:ascii="宋体" w:hAnsi="宋体" w:cs="宋体"/>
          <w:b/>
          <w:kern w:val="0"/>
          <w:sz w:val="28"/>
          <w:szCs w:val="28"/>
          <w:lang w:val="zh-CN"/>
        </w:rPr>
      </w:pPr>
    </w:p>
    <w:p w14:paraId="0D87507D">
      <w:pPr>
        <w:pStyle w:val="63"/>
        <w:rPr>
          <w:rFonts w:ascii="宋体"/>
          <w:color w:val="000000"/>
          <w:sz w:val="32"/>
          <w:szCs w:val="32"/>
        </w:rPr>
      </w:pPr>
    </w:p>
    <w:p w14:paraId="3292D142">
      <w:pPr>
        <w:pStyle w:val="65"/>
        <w:rPr>
          <w:rFonts w:ascii="宋体"/>
          <w:color w:val="000000"/>
          <w:sz w:val="32"/>
          <w:szCs w:val="32"/>
        </w:rPr>
      </w:pPr>
    </w:p>
    <w:p w14:paraId="707B9114">
      <w:pPr>
        <w:rPr>
          <w:rFonts w:ascii="宋体"/>
          <w:color w:val="000000"/>
          <w:sz w:val="32"/>
          <w:szCs w:val="32"/>
        </w:rPr>
      </w:pPr>
    </w:p>
    <w:p w14:paraId="1D50B60E">
      <w:pPr>
        <w:pStyle w:val="3"/>
        <w:rPr>
          <w:rFonts w:ascii="宋体"/>
          <w:color w:val="000000"/>
          <w:sz w:val="32"/>
          <w:szCs w:val="32"/>
        </w:rPr>
      </w:pPr>
    </w:p>
    <w:p w14:paraId="1F8BD104">
      <w:pPr>
        <w:rPr>
          <w:rFonts w:ascii="宋体"/>
          <w:color w:val="000000"/>
          <w:sz w:val="32"/>
          <w:szCs w:val="32"/>
        </w:rPr>
      </w:pPr>
    </w:p>
    <w:p w14:paraId="76E77EA8">
      <w:pPr>
        <w:pStyle w:val="212"/>
        <w:rPr>
          <w:rFonts w:ascii="宋体"/>
          <w:color w:val="000000"/>
          <w:sz w:val="32"/>
          <w:szCs w:val="32"/>
        </w:rPr>
      </w:pPr>
    </w:p>
    <w:p w14:paraId="70281BDC">
      <w:pPr>
        <w:pStyle w:val="3"/>
      </w:pPr>
    </w:p>
    <w:p w14:paraId="4DF2DC02">
      <w:pPr>
        <w:rPr>
          <w:rFonts w:ascii="宋体"/>
          <w:color w:val="000000"/>
          <w:sz w:val="32"/>
          <w:szCs w:val="32"/>
        </w:rPr>
      </w:pPr>
    </w:p>
    <w:p w14:paraId="7291BDB4">
      <w:pPr>
        <w:pStyle w:val="212"/>
      </w:pPr>
    </w:p>
    <w:p w14:paraId="1D3C3373">
      <w:pPr>
        <w:pStyle w:val="212"/>
        <w:rPr>
          <w:rFonts w:ascii="宋体"/>
          <w:color w:val="000000"/>
          <w:sz w:val="32"/>
          <w:szCs w:val="32"/>
        </w:rPr>
      </w:pPr>
    </w:p>
    <w:p w14:paraId="25C18F07">
      <w:pPr>
        <w:pStyle w:val="3"/>
        <w:rPr>
          <w:rFonts w:ascii="宋体"/>
          <w:color w:val="000000"/>
          <w:sz w:val="32"/>
          <w:szCs w:val="32"/>
        </w:rPr>
      </w:pPr>
    </w:p>
    <w:p w14:paraId="5EFD3026"/>
    <w:p w14:paraId="4B174755">
      <w:pPr>
        <w:pStyle w:val="63"/>
        <w:rPr>
          <w:rFonts w:ascii="宋体"/>
          <w:color w:val="000000"/>
          <w:sz w:val="32"/>
          <w:szCs w:val="32"/>
        </w:rPr>
      </w:pPr>
    </w:p>
    <w:p w14:paraId="6EC9CAC8">
      <w:pPr>
        <w:pStyle w:val="65"/>
        <w:rPr>
          <w:rFonts w:hint="eastAsia"/>
          <w:color w:val="000000"/>
          <w:sz w:val="32"/>
          <w:szCs w:val="32"/>
          <w:lang w:val="en-US" w:eastAsia="zh-CN"/>
        </w:rPr>
      </w:pPr>
      <w:r>
        <w:rPr>
          <w:rFonts w:hint="eastAsia"/>
          <w:color w:val="000000"/>
          <w:sz w:val="32"/>
          <w:szCs w:val="32"/>
          <w:lang w:eastAsia="zh-CN"/>
        </w:rPr>
        <w:t>附件</w:t>
      </w:r>
      <w:r>
        <w:rPr>
          <w:rFonts w:hint="eastAsia"/>
          <w:color w:val="000000"/>
          <w:sz w:val="32"/>
          <w:szCs w:val="32"/>
          <w:lang w:val="en-US" w:eastAsia="zh-CN"/>
        </w:rPr>
        <w:t>2</w:t>
      </w:r>
    </w:p>
    <w:p w14:paraId="1203BF18">
      <w:pPr>
        <w:rPr>
          <w:rFonts w:hint="eastAsia"/>
          <w:lang w:val="en-US" w:eastAsia="zh-CN"/>
        </w:rPr>
      </w:pPr>
    </w:p>
    <w:p w14:paraId="6D20E120">
      <w:pPr>
        <w:spacing w:line="560" w:lineRule="exact"/>
        <w:jc w:val="center"/>
        <w:rPr>
          <w:rFonts w:hint="eastAsia" w:ascii="宋体" w:hAnsi="宋体" w:cs="宋体"/>
          <w:b/>
          <w:bCs/>
          <w:sz w:val="32"/>
          <w:szCs w:val="32"/>
        </w:rPr>
      </w:pPr>
      <w:r>
        <w:rPr>
          <w:rFonts w:hint="eastAsia" w:ascii="宋体" w:hAnsi="宋体" w:cs="宋体"/>
          <w:b/>
          <w:bCs/>
          <w:sz w:val="32"/>
          <w:szCs w:val="32"/>
        </w:rPr>
        <w:t>法定代表人身份证明</w:t>
      </w:r>
    </w:p>
    <w:p w14:paraId="7106E55C">
      <w:pPr>
        <w:spacing w:line="480" w:lineRule="exact"/>
        <w:rPr>
          <w:rFonts w:hint="eastAsia" w:ascii="宋体" w:hAnsi="宋体" w:cs="宋体"/>
          <w:sz w:val="24"/>
        </w:rPr>
      </w:pPr>
    </w:p>
    <w:p w14:paraId="1D20357B">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 xml:space="preserve"> </w:t>
      </w:r>
      <w:r>
        <w:rPr>
          <w:rFonts w:hint="eastAsia" w:ascii="宋体" w:hAnsi="宋体" w:eastAsia="宋体" w:cs="宋体"/>
          <w:kern w:val="0"/>
          <w:sz w:val="28"/>
          <w:szCs w:val="28"/>
          <w:u w:val="single"/>
          <w:lang w:val="zh-CN"/>
        </w:rPr>
        <w:t xml:space="preserve">       </w:t>
      </w:r>
      <w:r>
        <w:rPr>
          <w:rFonts w:hint="eastAsia" w:ascii="宋体" w:hAnsi="宋体" w:eastAsia="宋体" w:cs="宋体"/>
          <w:kern w:val="0"/>
          <w:sz w:val="28"/>
          <w:szCs w:val="28"/>
          <w:lang w:val="zh-CN"/>
        </w:rPr>
        <w:t>先生/女士： 现任我单位</w:t>
      </w:r>
      <w:r>
        <w:rPr>
          <w:rFonts w:hint="eastAsia" w:ascii="宋体" w:hAnsi="宋体" w:eastAsia="宋体" w:cs="宋体"/>
          <w:kern w:val="0"/>
          <w:sz w:val="28"/>
          <w:szCs w:val="28"/>
          <w:u w:val="single"/>
          <w:lang w:val="zh-CN"/>
        </w:rPr>
        <w:t xml:space="preserve">        </w:t>
      </w:r>
      <w:r>
        <w:rPr>
          <w:rFonts w:hint="eastAsia" w:ascii="宋体" w:hAnsi="宋体" w:eastAsia="宋体" w:cs="宋体"/>
          <w:kern w:val="0"/>
          <w:sz w:val="28"/>
          <w:szCs w:val="28"/>
          <w:lang w:val="zh-CN"/>
        </w:rPr>
        <w:t>职务，为法定代表人，特此证明。</w:t>
      </w:r>
    </w:p>
    <w:p w14:paraId="2F73CF83">
      <w:pPr>
        <w:adjustRightInd w:val="0"/>
        <w:snapToGrid w:val="0"/>
        <w:spacing w:line="460" w:lineRule="exact"/>
        <w:ind w:firstLine="560" w:firstLineChars="200"/>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 xml:space="preserve">身份证号码： </w:t>
      </w:r>
      <w:r>
        <w:rPr>
          <w:rFonts w:hint="eastAsia" w:ascii="宋体" w:hAnsi="宋体" w:eastAsia="宋体" w:cs="宋体"/>
          <w:kern w:val="0"/>
          <w:sz w:val="28"/>
          <w:szCs w:val="28"/>
          <w:u w:val="single"/>
          <w:lang w:val="zh-CN"/>
        </w:rPr>
        <w:t xml:space="preserve">                              </w:t>
      </w:r>
      <w:r>
        <w:rPr>
          <w:rFonts w:hint="eastAsia" w:ascii="宋体" w:hAnsi="宋体" w:eastAsia="宋体" w:cs="宋体"/>
          <w:kern w:val="0"/>
          <w:sz w:val="28"/>
          <w:szCs w:val="28"/>
          <w:lang w:val="zh-CN"/>
        </w:rPr>
        <w:t xml:space="preserve">                </w:t>
      </w:r>
    </w:p>
    <w:p w14:paraId="2044D445">
      <w:pPr>
        <w:spacing w:line="480" w:lineRule="exact"/>
        <w:ind w:firstLine="480"/>
        <w:rPr>
          <w:rFonts w:hint="eastAsia" w:ascii="宋体" w:hAnsi="宋体" w:cs="宋体"/>
          <w:sz w:val="24"/>
        </w:rPr>
      </w:pPr>
    </w:p>
    <w:p w14:paraId="12C6B21C">
      <w:pPr>
        <w:spacing w:line="600" w:lineRule="exact"/>
        <w:rPr>
          <w:rFonts w:hint="eastAsia" w:ascii="宋体" w:hAnsi="宋体" w:cs="宋体"/>
          <w:b/>
          <w:sz w:val="24"/>
        </w:rPr>
      </w:pPr>
      <w:r>
        <w:rPr>
          <w:rFonts w:hint="eastAsia" w:ascii="宋体" w:hAnsi="宋体" w:cs="宋体"/>
          <w:b/>
          <w:sz w:val="24"/>
        </w:rPr>
        <w:t>注：提供法定代表人的身份证复印件盖公章</w:t>
      </w:r>
    </w:p>
    <w:p w14:paraId="4DA7F26C">
      <w:pPr>
        <w:spacing w:line="480" w:lineRule="exact"/>
        <w:ind w:firstLine="480" w:firstLineChars="200"/>
        <w:rPr>
          <w:rFonts w:hint="eastAsia" w:ascii="宋体" w:hAnsi="宋体" w:cs="宋体"/>
          <w:sz w:val="24"/>
        </w:rPr>
      </w:pPr>
    </w:p>
    <w:p w14:paraId="399323BD">
      <w:pPr>
        <w:pStyle w:val="212"/>
        <w:rPr>
          <w:rFonts w:hint="eastAsia"/>
        </w:rPr>
      </w:pPr>
    </w:p>
    <w:p w14:paraId="5465C8F6">
      <w:pPr>
        <w:adjustRightInd w:val="0"/>
        <w:snapToGrid w:val="0"/>
        <w:spacing w:line="460" w:lineRule="exact"/>
        <w:ind w:firstLine="560" w:firstLineChars="20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zh-CN"/>
        </w:rPr>
        <w:t>供应商名称（盖章）：</w:t>
      </w:r>
    </w:p>
    <w:p w14:paraId="7E3CB36A">
      <w:pPr>
        <w:adjustRightInd w:val="0"/>
        <w:snapToGrid w:val="0"/>
        <w:spacing w:line="460" w:lineRule="exact"/>
        <w:ind w:firstLine="560" w:firstLineChars="200"/>
        <w:jc w:val="center"/>
        <w:rPr>
          <w:rFonts w:hint="eastAsia" w:ascii="宋体" w:hAnsi="宋体" w:eastAsia="宋体" w:cs="宋体"/>
          <w:kern w:val="0"/>
          <w:sz w:val="28"/>
          <w:szCs w:val="28"/>
          <w:lang w:val="zh-CN"/>
        </w:rPr>
      </w:pP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val="zh-CN" w:eastAsia="zh-CN"/>
        </w:rPr>
        <w:t>日期</w:t>
      </w:r>
      <w:r>
        <w:rPr>
          <w:rFonts w:hint="eastAsia" w:ascii="宋体" w:hAnsi="宋体" w:eastAsia="宋体" w:cs="宋体"/>
          <w:kern w:val="0"/>
          <w:sz w:val="28"/>
          <w:szCs w:val="28"/>
          <w:lang w:val="zh-CN"/>
        </w:rPr>
        <w:t>：</w:t>
      </w:r>
    </w:p>
    <w:p w14:paraId="2E3C23DC">
      <w:pPr>
        <w:rPr>
          <w:rFonts w:hint="eastAsia" w:ascii="宋体" w:hAnsi="宋体" w:cs="宋体"/>
        </w:rPr>
      </w:pPr>
    </w:p>
    <w:p w14:paraId="5271B3B0">
      <w:pPr>
        <w:rPr>
          <w:rFonts w:hint="default"/>
          <w:lang w:val="en-US" w:eastAsia="zh-CN"/>
        </w:rPr>
      </w:pPr>
    </w:p>
    <w:p w14:paraId="329B9F28">
      <w:pPr>
        <w:rPr>
          <w:rFonts w:hint="eastAsia" w:ascii="宋体" w:eastAsia="宋体"/>
          <w:color w:val="000000"/>
          <w:sz w:val="32"/>
          <w:szCs w:val="32"/>
          <w:lang w:eastAsia="zh-CN"/>
        </w:rPr>
      </w:pPr>
    </w:p>
    <w:p w14:paraId="6C3A77D4">
      <w:pPr>
        <w:pStyle w:val="3"/>
        <w:rPr>
          <w:rFonts w:hint="eastAsia" w:ascii="宋体" w:eastAsia="宋体"/>
          <w:color w:val="000000"/>
          <w:sz w:val="32"/>
          <w:szCs w:val="32"/>
          <w:lang w:eastAsia="zh-CN"/>
        </w:rPr>
      </w:pPr>
    </w:p>
    <w:p w14:paraId="67B71961">
      <w:pPr>
        <w:pStyle w:val="3"/>
        <w:rPr>
          <w:rFonts w:hint="eastAsia" w:ascii="宋体" w:eastAsia="宋体"/>
          <w:color w:val="000000"/>
          <w:sz w:val="32"/>
          <w:szCs w:val="32"/>
          <w:lang w:eastAsia="zh-CN"/>
        </w:rPr>
      </w:pPr>
    </w:p>
    <w:p w14:paraId="7DE7BE16">
      <w:pPr>
        <w:rPr>
          <w:rFonts w:hint="eastAsia" w:ascii="宋体" w:eastAsia="宋体"/>
          <w:color w:val="000000"/>
          <w:sz w:val="32"/>
          <w:szCs w:val="32"/>
          <w:lang w:eastAsia="zh-CN"/>
        </w:rPr>
      </w:pPr>
    </w:p>
    <w:p w14:paraId="6303336E">
      <w:pPr>
        <w:pStyle w:val="212"/>
        <w:rPr>
          <w:rFonts w:hint="eastAsia" w:ascii="宋体" w:eastAsia="宋体"/>
          <w:color w:val="000000"/>
          <w:sz w:val="32"/>
          <w:szCs w:val="32"/>
          <w:lang w:eastAsia="zh-CN"/>
        </w:rPr>
      </w:pPr>
    </w:p>
    <w:p w14:paraId="32AD4A1E">
      <w:pPr>
        <w:pStyle w:val="3"/>
        <w:rPr>
          <w:rFonts w:hint="eastAsia" w:ascii="宋体" w:eastAsia="宋体"/>
          <w:color w:val="000000"/>
          <w:sz w:val="32"/>
          <w:szCs w:val="32"/>
          <w:lang w:eastAsia="zh-CN"/>
        </w:rPr>
      </w:pPr>
    </w:p>
    <w:p w14:paraId="75146F26">
      <w:pPr>
        <w:rPr>
          <w:rFonts w:hint="eastAsia" w:ascii="宋体" w:eastAsia="宋体"/>
          <w:color w:val="000000"/>
          <w:sz w:val="32"/>
          <w:szCs w:val="32"/>
          <w:lang w:eastAsia="zh-CN"/>
        </w:rPr>
      </w:pPr>
    </w:p>
    <w:p w14:paraId="00ED6F1C">
      <w:pPr>
        <w:pStyle w:val="212"/>
        <w:rPr>
          <w:rFonts w:hint="eastAsia" w:ascii="宋体" w:eastAsia="宋体"/>
          <w:color w:val="000000"/>
          <w:sz w:val="32"/>
          <w:szCs w:val="32"/>
          <w:lang w:eastAsia="zh-CN"/>
        </w:rPr>
      </w:pPr>
    </w:p>
    <w:p w14:paraId="17326E77">
      <w:pPr>
        <w:pStyle w:val="3"/>
        <w:rPr>
          <w:rFonts w:hint="eastAsia" w:ascii="宋体" w:eastAsia="宋体"/>
          <w:color w:val="000000"/>
          <w:sz w:val="32"/>
          <w:szCs w:val="32"/>
          <w:lang w:eastAsia="zh-CN"/>
        </w:rPr>
      </w:pPr>
    </w:p>
    <w:p w14:paraId="3C2253F3">
      <w:pPr>
        <w:rPr>
          <w:rFonts w:hint="eastAsia" w:ascii="宋体" w:eastAsia="宋体"/>
          <w:color w:val="000000"/>
          <w:sz w:val="32"/>
          <w:szCs w:val="32"/>
          <w:lang w:eastAsia="zh-CN"/>
        </w:rPr>
      </w:pPr>
    </w:p>
    <w:p w14:paraId="713050CC">
      <w:pPr>
        <w:pStyle w:val="212"/>
        <w:rPr>
          <w:rFonts w:hint="eastAsia" w:ascii="宋体" w:eastAsia="宋体"/>
          <w:color w:val="000000"/>
          <w:sz w:val="32"/>
          <w:szCs w:val="32"/>
          <w:lang w:eastAsia="zh-CN"/>
        </w:rPr>
      </w:pPr>
    </w:p>
    <w:p w14:paraId="35A32F36">
      <w:pPr>
        <w:pStyle w:val="3"/>
        <w:rPr>
          <w:rFonts w:hint="eastAsia" w:ascii="宋体" w:eastAsia="宋体"/>
          <w:color w:val="000000"/>
          <w:sz w:val="32"/>
          <w:szCs w:val="32"/>
          <w:lang w:eastAsia="zh-CN"/>
        </w:rPr>
      </w:pPr>
    </w:p>
    <w:p w14:paraId="011DBB5A">
      <w:pPr>
        <w:rPr>
          <w:rFonts w:hint="eastAsia"/>
          <w:lang w:eastAsia="zh-CN"/>
        </w:rPr>
      </w:pPr>
    </w:p>
    <w:p w14:paraId="5AF484D9">
      <w:pPr>
        <w:pStyle w:val="3"/>
        <w:rPr>
          <w:rFonts w:hint="eastAsia" w:ascii="宋体" w:eastAsia="宋体"/>
          <w:color w:val="000000"/>
          <w:sz w:val="32"/>
          <w:szCs w:val="32"/>
          <w:lang w:eastAsia="zh-CN"/>
        </w:rPr>
      </w:pPr>
    </w:p>
    <w:p w14:paraId="68DFCB30">
      <w:pPr>
        <w:rPr>
          <w:rFonts w:hint="eastAsia" w:ascii="宋体" w:eastAsia="宋体"/>
          <w:color w:val="000000"/>
          <w:sz w:val="32"/>
          <w:szCs w:val="32"/>
          <w:lang w:eastAsia="zh-CN"/>
        </w:rPr>
      </w:pPr>
    </w:p>
    <w:p w14:paraId="3CE1B7E2">
      <w:pPr>
        <w:pStyle w:val="212"/>
        <w:rPr>
          <w:rFonts w:hint="eastAsia"/>
          <w:lang w:eastAsia="zh-CN"/>
        </w:rPr>
      </w:pPr>
    </w:p>
    <w:p w14:paraId="3D453093">
      <w:pPr>
        <w:pStyle w:val="63"/>
        <w:rPr>
          <w:rFonts w:hint="eastAsia"/>
          <w:lang w:eastAsia="zh-CN"/>
        </w:rPr>
      </w:pPr>
    </w:p>
    <w:p w14:paraId="6BF576FF">
      <w:pPr>
        <w:pStyle w:val="63"/>
        <w:ind w:left="0" w:leftChars="0" w:firstLine="0" w:firstLineChars="0"/>
        <w:rPr>
          <w:rFonts w:ascii="宋体"/>
          <w:color w:val="000000"/>
          <w:sz w:val="32"/>
          <w:szCs w:val="32"/>
        </w:rPr>
      </w:pPr>
    </w:p>
    <w:p w14:paraId="04344B33">
      <w:pPr>
        <w:pStyle w:val="65"/>
        <w:rPr>
          <w:rFonts w:hint="eastAsia"/>
          <w:color w:val="000000"/>
          <w:sz w:val="32"/>
          <w:szCs w:val="32"/>
          <w:lang w:eastAsia="zh-CN"/>
        </w:rPr>
      </w:pPr>
    </w:p>
    <w:p w14:paraId="59EE7586">
      <w:pPr>
        <w:pStyle w:val="65"/>
        <w:rPr>
          <w:rFonts w:hint="default"/>
          <w:color w:val="000000"/>
          <w:sz w:val="32"/>
          <w:szCs w:val="32"/>
          <w:lang w:val="en-US" w:eastAsia="zh-CN"/>
        </w:rPr>
      </w:pPr>
      <w:r>
        <w:rPr>
          <w:rFonts w:hint="eastAsia"/>
          <w:color w:val="000000"/>
          <w:sz w:val="32"/>
          <w:szCs w:val="32"/>
          <w:lang w:eastAsia="zh-CN"/>
        </w:rPr>
        <w:t>附件</w:t>
      </w:r>
      <w:r>
        <w:rPr>
          <w:rFonts w:hint="eastAsia"/>
          <w:color w:val="000000"/>
          <w:sz w:val="32"/>
          <w:szCs w:val="32"/>
          <w:lang w:val="en-US" w:eastAsia="zh-CN"/>
        </w:rPr>
        <w:t>3</w:t>
      </w:r>
    </w:p>
    <w:p w14:paraId="57824EC7">
      <w:pPr>
        <w:spacing w:line="560" w:lineRule="exact"/>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授权委托书</w:t>
      </w:r>
    </w:p>
    <w:p w14:paraId="5946576B">
      <w:pPr>
        <w:snapToGrid w:val="0"/>
        <w:spacing w:line="360" w:lineRule="auto"/>
        <w:rPr>
          <w:rFonts w:ascii="宋体"/>
          <w:color w:val="000000" w:themeColor="text1"/>
          <w:sz w:val="24"/>
          <w:szCs w:val="24"/>
        </w:rPr>
      </w:pPr>
      <w:bookmarkStart w:id="5" w:name="_Toc360526534"/>
    </w:p>
    <w:p w14:paraId="19757EFE">
      <w:pPr>
        <w:snapToGrid w:val="0"/>
        <w:spacing w:line="360" w:lineRule="auto"/>
        <w:rPr>
          <w:rFonts w:ascii="宋体"/>
          <w:color w:val="000000" w:themeColor="text1"/>
          <w:sz w:val="24"/>
          <w:szCs w:val="24"/>
        </w:rPr>
      </w:pPr>
      <w:r>
        <w:rPr>
          <w:rFonts w:hint="eastAsia" w:ascii="宋体" w:hAnsi="宋体" w:cs="宋体"/>
          <w:color w:val="000000" w:themeColor="text1"/>
          <w:sz w:val="24"/>
          <w:szCs w:val="24"/>
        </w:rPr>
        <w:t>南通市养老服务指导中心：</w:t>
      </w:r>
    </w:p>
    <w:p w14:paraId="714586EA">
      <w:pPr>
        <w:pStyle w:val="27"/>
        <w:snapToGrid w:val="0"/>
        <w:spacing w:line="360" w:lineRule="auto"/>
        <w:ind w:firstLine="480" w:firstLineChars="200"/>
        <w:contextualSpacing/>
        <w:rPr>
          <w:rFonts w:hAnsi="宋体" w:cs="宋体"/>
          <w:color w:val="auto"/>
          <w:sz w:val="24"/>
          <w:highlight w:val="none"/>
        </w:rPr>
      </w:pPr>
      <w:r>
        <w:rPr>
          <w:rFonts w:hint="eastAsia" w:ascii="宋体" w:hAnsi="宋体" w:cs="宋体"/>
          <w:color w:val="000000" w:themeColor="text1"/>
          <w:sz w:val="24"/>
          <w:szCs w:val="24"/>
          <w:lang w:val="en-US" w:eastAsia="zh-CN"/>
        </w:rPr>
        <w:t xml:space="preserve"> </w:t>
      </w:r>
      <w:r>
        <w:rPr>
          <w:rFonts w:hint="eastAsia" w:hAnsi="宋体" w:cs="宋体"/>
          <w:color w:val="auto"/>
          <w:sz w:val="24"/>
          <w:highlight w:val="none"/>
        </w:rPr>
        <w:t xml:space="preserve">  本授权委托书声明：我</w:t>
      </w:r>
      <w:r>
        <w:rPr>
          <w:rFonts w:hint="eastAsia" w:hAnsi="宋体" w:cs="宋体"/>
          <w:color w:val="auto"/>
          <w:sz w:val="24"/>
          <w:highlight w:val="none"/>
          <w:u w:val="single"/>
        </w:rPr>
        <w:t>　　   　</w:t>
      </w:r>
      <w:r>
        <w:rPr>
          <w:rFonts w:hint="eastAsia" w:hAnsi="宋体" w:cs="宋体"/>
          <w:color w:val="auto"/>
          <w:sz w:val="24"/>
          <w:highlight w:val="none"/>
        </w:rPr>
        <w:t>（姓名）系</w:t>
      </w:r>
      <w:r>
        <w:rPr>
          <w:rFonts w:hint="eastAsia" w:hAnsi="宋体" w:cs="宋体"/>
          <w:color w:val="auto"/>
          <w:sz w:val="24"/>
          <w:highlight w:val="none"/>
          <w:u w:val="single"/>
        </w:rPr>
        <w:t>　　  　</w:t>
      </w:r>
      <w:r>
        <w:rPr>
          <w:rFonts w:hint="eastAsia" w:hAnsi="宋体" w:cs="宋体"/>
          <w:color w:val="auto"/>
          <w:sz w:val="24"/>
          <w:highlight w:val="none"/>
        </w:rPr>
        <w:t>（响应人名称）的法定代表人，现授权委托</w:t>
      </w:r>
      <w:r>
        <w:rPr>
          <w:rFonts w:hint="eastAsia" w:hAnsi="宋体" w:cs="宋体"/>
          <w:color w:val="auto"/>
          <w:sz w:val="24"/>
          <w:highlight w:val="none"/>
          <w:u w:val="single"/>
        </w:rPr>
        <w:t>　　   （</w:t>
      </w:r>
      <w:r>
        <w:rPr>
          <w:rFonts w:hint="eastAsia" w:hAnsi="宋体" w:cs="宋体"/>
          <w:color w:val="auto"/>
          <w:sz w:val="24"/>
          <w:highlight w:val="none"/>
        </w:rPr>
        <w:t>姓名）为我公司代理人，以本公司的名义参加本项目的响应活动。代理人在开标、评审、合同谈判过程中所签署的一切文件和处理与之有关的一切事务，我均予以承认。</w:t>
      </w:r>
    </w:p>
    <w:p w14:paraId="4B768433">
      <w:pPr>
        <w:pStyle w:val="27"/>
        <w:snapToGrid w:val="0"/>
        <w:spacing w:line="360" w:lineRule="auto"/>
        <w:ind w:firstLine="480" w:firstLineChars="200"/>
        <w:contextualSpacing/>
        <w:rPr>
          <w:rFonts w:hAnsi="宋体" w:cs="宋体"/>
          <w:color w:val="auto"/>
          <w:sz w:val="24"/>
          <w:highlight w:val="none"/>
        </w:rPr>
      </w:pPr>
      <w:r>
        <w:rPr>
          <w:rFonts w:hint="eastAsia" w:hAnsi="宋体" w:cs="宋体"/>
          <w:color w:val="auto"/>
          <w:sz w:val="24"/>
          <w:highlight w:val="none"/>
        </w:rPr>
        <w:t>被委托授权人无转委权。特此委托。</w:t>
      </w:r>
    </w:p>
    <w:p w14:paraId="46B6BC0A">
      <w:pPr>
        <w:pStyle w:val="27"/>
        <w:snapToGrid w:val="0"/>
        <w:spacing w:line="360" w:lineRule="auto"/>
        <w:ind w:firstLine="480" w:firstLineChars="200"/>
        <w:contextualSpacing/>
        <w:rPr>
          <w:rFonts w:hAnsi="宋体" w:cs="宋体"/>
          <w:color w:val="auto"/>
          <w:sz w:val="24"/>
          <w:highlight w:val="none"/>
        </w:rPr>
      </w:pPr>
    </w:p>
    <w:p w14:paraId="2F394D71">
      <w:pPr>
        <w:pStyle w:val="27"/>
        <w:snapToGrid w:val="0"/>
        <w:spacing w:line="360" w:lineRule="auto"/>
        <w:ind w:firstLine="480" w:firstLineChars="200"/>
        <w:contextualSpacing/>
        <w:rPr>
          <w:rFonts w:hAnsi="宋体" w:cs="宋体"/>
          <w:color w:val="auto"/>
          <w:sz w:val="24"/>
          <w:highlight w:val="none"/>
        </w:rPr>
      </w:pPr>
      <w:r>
        <w:rPr>
          <w:rFonts w:hint="eastAsia" w:hAnsi="宋体" w:cs="宋体"/>
          <w:color w:val="auto"/>
          <w:sz w:val="24"/>
          <w:highlight w:val="none"/>
        </w:rPr>
        <w:t>被委托授权人身份证号：</w:t>
      </w:r>
    </w:p>
    <w:p w14:paraId="19DDD678">
      <w:pPr>
        <w:snapToGrid w:val="0"/>
        <w:spacing w:line="360" w:lineRule="auto"/>
        <w:ind w:firstLine="480" w:firstLineChars="200"/>
        <w:contextualSpacing/>
        <w:rPr>
          <w:rFonts w:ascii="宋体" w:hAnsi="宋体" w:cs="宋体"/>
          <w:color w:val="auto"/>
          <w:sz w:val="24"/>
          <w:highlight w:val="none"/>
        </w:rPr>
      </w:pPr>
    </w:p>
    <w:p w14:paraId="6581AB65">
      <w:pPr>
        <w:snapToGrid w:val="0"/>
        <w:spacing w:line="480" w:lineRule="auto"/>
        <w:ind w:right="720" w:firstLine="480" w:firstLineChars="200"/>
        <w:contextualSpacing/>
        <w:jc w:val="right"/>
        <w:rPr>
          <w:rFonts w:ascii="宋体" w:hAnsi="宋体" w:cs="宋体"/>
          <w:color w:val="auto"/>
          <w:sz w:val="24"/>
          <w:highlight w:val="none"/>
        </w:rPr>
      </w:pPr>
      <w:r>
        <w:rPr>
          <w:rFonts w:hint="eastAsia" w:ascii="宋体" w:hAnsi="宋体" w:cs="宋体"/>
          <w:color w:val="auto"/>
          <w:sz w:val="24"/>
          <w:highlight w:val="none"/>
        </w:rPr>
        <w:t>法定代表人签字：</w:t>
      </w:r>
    </w:p>
    <w:p w14:paraId="6D25CF14">
      <w:pPr>
        <w:snapToGrid w:val="0"/>
        <w:spacing w:line="480" w:lineRule="auto"/>
        <w:ind w:right="720" w:firstLine="480" w:firstLineChars="200"/>
        <w:contextualSpacing/>
        <w:jc w:val="right"/>
        <w:rPr>
          <w:rFonts w:ascii="宋体" w:hAnsi="宋体" w:cs="宋体"/>
          <w:color w:val="auto"/>
          <w:sz w:val="24"/>
          <w:highlight w:val="none"/>
        </w:rPr>
      </w:pPr>
      <w:r>
        <w:rPr>
          <w:rFonts w:hint="eastAsia" w:ascii="宋体" w:hAnsi="宋体" w:cs="宋体"/>
          <w:color w:val="auto"/>
          <w:sz w:val="24"/>
          <w:highlight w:val="none"/>
        </w:rPr>
        <w:t>被委托授权人签字：</w:t>
      </w:r>
    </w:p>
    <w:p w14:paraId="5013D8CE">
      <w:pPr>
        <w:snapToGrid w:val="0"/>
        <w:spacing w:line="480" w:lineRule="auto"/>
        <w:ind w:right="720" w:firstLine="480" w:firstLineChars="200"/>
        <w:contextualSpacing/>
        <w:jc w:val="right"/>
        <w:rPr>
          <w:rFonts w:ascii="宋体" w:hAnsi="宋体" w:cs="宋体"/>
          <w:color w:val="auto"/>
          <w:sz w:val="24"/>
          <w:highlight w:val="none"/>
        </w:rPr>
      </w:pPr>
      <w:r>
        <w:rPr>
          <w:rFonts w:hint="eastAsia" w:ascii="宋体" w:hAnsi="宋体" w:cs="宋体"/>
          <w:color w:val="auto"/>
          <w:sz w:val="24"/>
          <w:highlight w:val="none"/>
        </w:rPr>
        <w:t>供应商名称（盖章）：</w:t>
      </w:r>
    </w:p>
    <w:p w14:paraId="0460D4F6">
      <w:pPr>
        <w:snapToGrid w:val="0"/>
        <w:spacing w:line="480" w:lineRule="auto"/>
        <w:ind w:right="720" w:firstLine="480" w:firstLineChars="200"/>
        <w:contextualSpacing/>
        <w:jc w:val="right"/>
        <w:rPr>
          <w:rFonts w:ascii="宋体" w:hAnsi="宋体" w:cs="宋体"/>
          <w:color w:val="auto"/>
          <w:sz w:val="24"/>
          <w:highlight w:val="none"/>
        </w:rPr>
      </w:pPr>
      <w:r>
        <w:rPr>
          <w:rFonts w:hint="eastAsia" w:ascii="宋体" w:hAnsi="宋体" w:cs="宋体"/>
          <w:color w:val="auto"/>
          <w:sz w:val="24"/>
          <w:highlight w:val="none"/>
          <w:lang w:eastAsia="zh-CN"/>
        </w:rPr>
        <w:t>日期</w:t>
      </w:r>
      <w:r>
        <w:rPr>
          <w:rFonts w:hint="eastAsia" w:ascii="宋体" w:hAnsi="宋体" w:cs="宋体"/>
          <w:color w:val="auto"/>
          <w:sz w:val="24"/>
          <w:highlight w:val="none"/>
        </w:rPr>
        <w:t>：</w:t>
      </w:r>
    </w:p>
    <w:p w14:paraId="3AD92FE2">
      <w:pPr>
        <w:pStyle w:val="27"/>
        <w:snapToGrid w:val="0"/>
        <w:spacing w:line="300" w:lineRule="auto"/>
        <w:ind w:firstLine="420"/>
        <w:contextualSpacing/>
        <w:rPr>
          <w:rFonts w:hAnsi="宋体" w:cs="宋体"/>
          <w:b/>
          <w:color w:val="auto"/>
          <w:sz w:val="24"/>
          <w:highlight w:val="none"/>
        </w:rPr>
      </w:pPr>
    </w:p>
    <w:p w14:paraId="21959E9B">
      <w:pPr>
        <w:pStyle w:val="27"/>
        <w:snapToGrid w:val="0"/>
        <w:spacing w:line="300" w:lineRule="auto"/>
        <w:ind w:firstLine="420"/>
        <w:contextualSpacing/>
        <w:rPr>
          <w:rFonts w:hAnsi="宋体" w:cs="宋体"/>
          <w:b/>
          <w:color w:val="auto"/>
          <w:sz w:val="24"/>
          <w:highlight w:val="none"/>
        </w:rPr>
      </w:pPr>
      <w:r>
        <w:rPr>
          <w:rFonts w:hint="eastAsia" w:hAnsi="宋体" w:cs="宋体"/>
          <w:b/>
          <w:color w:val="auto"/>
          <w:sz w:val="24"/>
          <w:highlight w:val="none"/>
        </w:rPr>
        <w:t>注：提供被委托授权人的身份证复印件盖公章</w:t>
      </w:r>
    </w:p>
    <w:p w14:paraId="134387BD">
      <w:pPr>
        <w:pStyle w:val="27"/>
        <w:snapToGrid w:val="0"/>
        <w:spacing w:line="300" w:lineRule="auto"/>
        <w:ind w:firstLine="420"/>
        <w:contextualSpacing/>
        <w:rPr>
          <w:rFonts w:hAnsi="宋体" w:cs="宋体"/>
          <w:b/>
          <w:color w:val="auto"/>
          <w:sz w:val="24"/>
          <w:highlight w:val="none"/>
        </w:rPr>
      </w:pPr>
    </w:p>
    <w:p w14:paraId="47A03282">
      <w:pPr>
        <w:snapToGrid w:val="0"/>
        <w:spacing w:line="420" w:lineRule="exact"/>
        <w:rPr>
          <w:rFonts w:hint="eastAsia" w:ascii="宋体" w:hAnsi="宋体" w:cs="宋体"/>
          <w:b/>
          <w:color w:val="auto"/>
          <w:sz w:val="24"/>
          <w:highlight w:val="none"/>
        </w:rPr>
        <w:sectPr>
          <w:pgSz w:w="11906" w:h="16838"/>
          <w:pgMar w:top="1440" w:right="1080" w:bottom="641" w:left="1080" w:header="851" w:footer="992" w:gutter="0"/>
          <w:pgNumType w:fmt="numberInDash"/>
          <w:cols w:space="720" w:num="1"/>
          <w:docGrid w:linePitch="312" w:charSpace="0"/>
        </w:sectPr>
      </w:pPr>
    </w:p>
    <w:p w14:paraId="2E8DF43A">
      <w:pPr>
        <w:snapToGrid w:val="0"/>
        <w:spacing w:line="400" w:lineRule="exact"/>
        <w:contextualSpacing/>
        <w:rPr>
          <w:rFonts w:hint="eastAsia" w:ascii="宋体" w:hAnsi="宋体" w:cs="宋体"/>
          <w:kern w:val="0"/>
          <w:sz w:val="32"/>
          <w:szCs w:val="32"/>
        </w:rPr>
      </w:pPr>
      <w:r>
        <w:rPr>
          <w:rFonts w:hint="eastAsia" w:ascii="宋体" w:hAnsi="宋体" w:cs="宋体"/>
          <w:kern w:val="0"/>
          <w:sz w:val="32"/>
          <w:szCs w:val="32"/>
        </w:rPr>
        <w:t>附件4</w:t>
      </w:r>
    </w:p>
    <w:p w14:paraId="1571BA41">
      <w:pPr>
        <w:pStyle w:val="15"/>
        <w:rPr>
          <w:rFonts w:hint="eastAsia" w:ascii="宋体" w:hAnsi="宋体" w:cs="宋体"/>
          <w:b/>
          <w:kern w:val="0"/>
          <w:sz w:val="28"/>
          <w:szCs w:val="28"/>
        </w:rPr>
      </w:pPr>
    </w:p>
    <w:p w14:paraId="24E0A5BF">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无重大违法记录声明</w:t>
      </w:r>
    </w:p>
    <w:p w14:paraId="09CD60D2">
      <w:pPr>
        <w:pStyle w:val="212"/>
        <w:rPr>
          <w:rFonts w:hint="eastAsia"/>
        </w:rPr>
      </w:pPr>
    </w:p>
    <w:p w14:paraId="63938CEB">
      <w:pPr>
        <w:snapToGrid w:val="0"/>
        <w:spacing w:line="360" w:lineRule="auto"/>
        <w:rPr>
          <w:rFonts w:hint="eastAsia" w:ascii="宋体" w:hAnsi="宋体" w:cs="宋体"/>
          <w:bCs/>
          <w:sz w:val="28"/>
          <w:szCs w:val="28"/>
        </w:rPr>
      </w:pPr>
      <w:r>
        <w:rPr>
          <w:rFonts w:hint="eastAsia" w:hAnsi="宋体" w:cs="宋体"/>
          <w:bCs/>
          <w:sz w:val="28"/>
          <w:szCs w:val="28"/>
        </w:rPr>
        <w:t>南通市养老服务指导中心</w:t>
      </w:r>
      <w:r>
        <w:rPr>
          <w:rFonts w:hint="eastAsia" w:ascii="宋体" w:hAnsi="宋体" w:cs="宋体"/>
          <w:bCs/>
          <w:sz w:val="28"/>
          <w:szCs w:val="28"/>
        </w:rPr>
        <w:t>：</w:t>
      </w:r>
    </w:p>
    <w:p w14:paraId="081205D1">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我公司郑重声明：参加本次采购活动前</w:t>
      </w:r>
      <w:r>
        <w:rPr>
          <w:rFonts w:hint="eastAsia" w:ascii="宋体" w:hAnsi="宋体" w:cs="宋体"/>
          <w:sz w:val="28"/>
          <w:szCs w:val="28"/>
          <w:u w:val="single"/>
        </w:rPr>
        <w:t xml:space="preserve"> 3 </w:t>
      </w:r>
      <w:r>
        <w:rPr>
          <w:rFonts w:hint="eastAsia" w:ascii="宋体" w:hAnsi="宋体" w:cs="宋体"/>
          <w:sz w:val="28"/>
          <w:szCs w:val="28"/>
        </w:rPr>
        <w:t>年内，我公司在经营活动中</w:t>
      </w:r>
      <w:r>
        <w:rPr>
          <w:rFonts w:hint="eastAsia" w:ascii="宋体" w:hAnsi="宋体" w:cs="宋体"/>
          <w:b/>
          <w:bCs/>
          <w:sz w:val="28"/>
          <w:szCs w:val="28"/>
          <w:u w:val="single"/>
        </w:rPr>
        <w:t>有/没有</w:t>
      </w:r>
      <w:r>
        <w:rPr>
          <w:rFonts w:hint="eastAsia" w:ascii="宋体" w:hAnsi="宋体" w:cs="宋体"/>
          <w:sz w:val="28"/>
          <w:szCs w:val="28"/>
        </w:rPr>
        <w:t>因违法经营受到刑事处罚或者责令停产停业、吊销许可证或者执照、较大数额罚款等行政处罚。</w:t>
      </w:r>
    </w:p>
    <w:p w14:paraId="7978CA56">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在参选截止时间节点，没有被</w:t>
      </w:r>
      <w:r>
        <w:rPr>
          <w:rFonts w:hint="eastAsia" w:ascii="宋体" w:hAnsi="宋体" w:cs="宋体"/>
          <w:sz w:val="28"/>
          <w:szCs w:val="32"/>
        </w:rPr>
        <w:t>“信用江苏”“信用中国”</w:t>
      </w:r>
      <w:r>
        <w:rPr>
          <w:rFonts w:hint="eastAsia" w:ascii="宋体" w:hAnsi="宋体" w:cs="宋体"/>
          <w:sz w:val="28"/>
          <w:szCs w:val="28"/>
        </w:rPr>
        <w:t>网站列入失信被执行人、重大税收违法案件当事人名单、采购严重违法失信行为记录名单。</w:t>
      </w:r>
    </w:p>
    <w:p w14:paraId="5684C847">
      <w:pPr>
        <w:snapToGrid w:val="0"/>
        <w:spacing w:line="360" w:lineRule="auto"/>
        <w:ind w:firstLine="200"/>
        <w:rPr>
          <w:rFonts w:hint="eastAsia" w:ascii="宋体" w:hAnsi="宋体" w:cs="宋体"/>
          <w:sz w:val="28"/>
          <w:szCs w:val="28"/>
        </w:rPr>
      </w:pPr>
    </w:p>
    <w:p w14:paraId="7D283392">
      <w:pPr>
        <w:snapToGrid w:val="0"/>
        <w:spacing w:line="480" w:lineRule="auto"/>
        <w:ind w:right="720" w:firstLine="560" w:firstLineChars="200"/>
        <w:contextualSpacing/>
        <w:jc w:val="right"/>
        <w:rPr>
          <w:rFonts w:hint="eastAsia" w:ascii="宋体" w:hAnsi="宋体" w:cs="宋体"/>
          <w:sz w:val="28"/>
          <w:szCs w:val="28"/>
          <w:u w:val="single"/>
        </w:rPr>
      </w:pPr>
      <w:r>
        <w:rPr>
          <w:rFonts w:hint="eastAsia" w:ascii="宋体" w:hAnsi="宋体" w:cs="宋体"/>
          <w:sz w:val="28"/>
          <w:szCs w:val="28"/>
        </w:rPr>
        <w:t>法定代表人或授权委托人签字：</w:t>
      </w:r>
    </w:p>
    <w:p w14:paraId="7477F135">
      <w:pPr>
        <w:snapToGrid w:val="0"/>
        <w:spacing w:line="480" w:lineRule="auto"/>
        <w:ind w:right="720" w:firstLine="560" w:firstLineChars="200"/>
        <w:contextualSpacing/>
        <w:jc w:val="right"/>
        <w:rPr>
          <w:rFonts w:hint="eastAsia" w:ascii="宋体" w:hAnsi="宋体" w:cs="宋体"/>
          <w:sz w:val="28"/>
          <w:szCs w:val="28"/>
        </w:rPr>
      </w:pPr>
      <w:r>
        <w:rPr>
          <w:rFonts w:hint="eastAsia" w:hAnsi="宋体" w:cs="宋体"/>
          <w:sz w:val="28"/>
          <w:szCs w:val="28"/>
          <w:lang w:eastAsia="zh-CN"/>
        </w:rPr>
        <w:t>供应商</w:t>
      </w:r>
      <w:r>
        <w:rPr>
          <w:rFonts w:hint="eastAsia" w:ascii="宋体" w:hAnsi="宋体" w:cs="宋体"/>
          <w:sz w:val="28"/>
          <w:szCs w:val="28"/>
        </w:rPr>
        <w:t>名称（盖章）：</w:t>
      </w:r>
    </w:p>
    <w:p w14:paraId="00E5D62D">
      <w:pPr>
        <w:snapToGrid w:val="0"/>
        <w:spacing w:line="360" w:lineRule="auto"/>
        <w:ind w:firstLine="560" w:firstLineChars="200"/>
        <w:jc w:val="center"/>
        <w:rPr>
          <w:rFonts w:hint="eastAsia" w:ascii="宋体" w:hAnsi="宋体" w:cs="宋体"/>
          <w:sz w:val="28"/>
          <w:szCs w:val="28"/>
        </w:rPr>
      </w:pPr>
      <w:r>
        <w:rPr>
          <w:rFonts w:hint="eastAsia" w:ascii="宋体" w:hAnsi="宋体" w:cs="宋体"/>
          <w:sz w:val="28"/>
          <w:szCs w:val="28"/>
        </w:rPr>
        <w:t xml:space="preserve">                  日期：</w:t>
      </w:r>
    </w:p>
    <w:p w14:paraId="37420CEA">
      <w:pPr>
        <w:spacing w:line="360" w:lineRule="auto"/>
        <w:rPr>
          <w:rFonts w:ascii="宋体" w:hAnsi="宋体" w:cs="宋体"/>
          <w:b/>
          <w:bCs/>
          <w:color w:val="000000" w:themeColor="text1"/>
          <w:sz w:val="24"/>
          <w:szCs w:val="24"/>
        </w:rPr>
      </w:pPr>
    </w:p>
    <w:p w14:paraId="5AAD464D">
      <w:pPr>
        <w:snapToGrid w:val="0"/>
        <w:spacing w:line="360" w:lineRule="auto"/>
        <w:jc w:val="center"/>
        <w:outlineLvl w:val="1"/>
        <w:rPr>
          <w:rFonts w:ascii="宋体" w:hAnsi="宋体" w:cs="宋体"/>
          <w:b/>
          <w:bCs/>
          <w:color w:val="000000" w:themeColor="text1"/>
          <w:sz w:val="24"/>
          <w:szCs w:val="24"/>
        </w:rPr>
      </w:pPr>
    </w:p>
    <w:p w14:paraId="426F8D79">
      <w:pPr>
        <w:snapToGrid w:val="0"/>
        <w:spacing w:line="360" w:lineRule="auto"/>
        <w:jc w:val="center"/>
        <w:outlineLvl w:val="1"/>
        <w:rPr>
          <w:rFonts w:ascii="宋体" w:hAnsi="宋体" w:cs="宋体"/>
          <w:b/>
          <w:bCs/>
          <w:color w:val="000000" w:themeColor="text1"/>
          <w:sz w:val="24"/>
          <w:szCs w:val="24"/>
        </w:rPr>
      </w:pPr>
    </w:p>
    <w:p w14:paraId="1B061049">
      <w:pPr>
        <w:snapToGrid w:val="0"/>
        <w:spacing w:line="360" w:lineRule="auto"/>
        <w:jc w:val="center"/>
        <w:outlineLvl w:val="1"/>
        <w:rPr>
          <w:rFonts w:ascii="宋体" w:hAnsi="宋体" w:cs="宋体"/>
          <w:b/>
          <w:bCs/>
          <w:color w:val="000000" w:themeColor="text1"/>
          <w:sz w:val="24"/>
          <w:szCs w:val="24"/>
        </w:rPr>
      </w:pPr>
    </w:p>
    <w:p w14:paraId="0EF16DC8">
      <w:pPr>
        <w:snapToGrid w:val="0"/>
        <w:spacing w:line="360" w:lineRule="auto"/>
        <w:jc w:val="center"/>
        <w:outlineLvl w:val="1"/>
        <w:rPr>
          <w:rFonts w:ascii="宋体" w:hAnsi="宋体" w:cs="宋体"/>
          <w:b/>
          <w:bCs/>
          <w:color w:val="000000" w:themeColor="text1"/>
          <w:sz w:val="24"/>
          <w:szCs w:val="24"/>
        </w:rPr>
      </w:pPr>
    </w:p>
    <w:p w14:paraId="2BCBAE42">
      <w:pPr>
        <w:snapToGrid w:val="0"/>
        <w:spacing w:line="360" w:lineRule="auto"/>
        <w:jc w:val="center"/>
        <w:outlineLvl w:val="1"/>
        <w:rPr>
          <w:rFonts w:ascii="宋体" w:hAnsi="宋体" w:cs="宋体"/>
          <w:b/>
          <w:bCs/>
          <w:color w:val="000000" w:themeColor="text1"/>
          <w:sz w:val="24"/>
          <w:szCs w:val="24"/>
        </w:rPr>
      </w:pPr>
    </w:p>
    <w:p w14:paraId="77051B29">
      <w:pPr>
        <w:snapToGrid w:val="0"/>
        <w:spacing w:line="360" w:lineRule="auto"/>
        <w:jc w:val="center"/>
        <w:outlineLvl w:val="1"/>
        <w:rPr>
          <w:rFonts w:ascii="宋体" w:hAnsi="宋体" w:cs="宋体"/>
          <w:b/>
          <w:bCs/>
          <w:color w:val="000000" w:themeColor="text1"/>
          <w:sz w:val="24"/>
          <w:szCs w:val="24"/>
        </w:rPr>
      </w:pPr>
    </w:p>
    <w:p w14:paraId="6B572526">
      <w:pPr>
        <w:snapToGrid w:val="0"/>
        <w:spacing w:line="360" w:lineRule="auto"/>
        <w:jc w:val="center"/>
        <w:outlineLvl w:val="1"/>
        <w:rPr>
          <w:rFonts w:ascii="宋体" w:hAnsi="宋体" w:cs="宋体"/>
          <w:b/>
          <w:bCs/>
          <w:color w:val="000000" w:themeColor="text1"/>
          <w:sz w:val="24"/>
          <w:szCs w:val="24"/>
        </w:rPr>
      </w:pPr>
    </w:p>
    <w:p w14:paraId="389E1849">
      <w:pPr>
        <w:snapToGrid w:val="0"/>
        <w:spacing w:line="360" w:lineRule="auto"/>
        <w:jc w:val="center"/>
        <w:outlineLvl w:val="1"/>
        <w:rPr>
          <w:rFonts w:ascii="宋体" w:hAnsi="宋体" w:cs="宋体"/>
          <w:b/>
          <w:bCs/>
          <w:color w:val="000000" w:themeColor="text1"/>
          <w:sz w:val="24"/>
          <w:szCs w:val="24"/>
        </w:rPr>
      </w:pPr>
    </w:p>
    <w:p w14:paraId="4CE8BCA8">
      <w:pPr>
        <w:snapToGrid w:val="0"/>
        <w:spacing w:line="360" w:lineRule="auto"/>
        <w:jc w:val="center"/>
        <w:outlineLvl w:val="1"/>
        <w:rPr>
          <w:rFonts w:ascii="宋体" w:hAnsi="宋体" w:cs="宋体"/>
          <w:b/>
          <w:bCs/>
          <w:color w:val="000000" w:themeColor="text1"/>
          <w:sz w:val="24"/>
          <w:szCs w:val="24"/>
        </w:rPr>
      </w:pPr>
    </w:p>
    <w:p w14:paraId="64A330EE">
      <w:pPr>
        <w:snapToGrid w:val="0"/>
        <w:spacing w:line="360" w:lineRule="auto"/>
        <w:jc w:val="center"/>
        <w:outlineLvl w:val="1"/>
        <w:rPr>
          <w:rFonts w:ascii="宋体" w:hAnsi="宋体" w:cs="宋体"/>
          <w:b/>
          <w:bCs/>
          <w:color w:val="000000" w:themeColor="text1"/>
          <w:sz w:val="24"/>
          <w:szCs w:val="24"/>
        </w:rPr>
      </w:pPr>
    </w:p>
    <w:p w14:paraId="317BFD97">
      <w:pPr>
        <w:snapToGrid w:val="0"/>
        <w:spacing w:line="360" w:lineRule="auto"/>
        <w:jc w:val="both"/>
        <w:outlineLvl w:val="1"/>
        <w:rPr>
          <w:rFonts w:ascii="宋体" w:hAnsi="宋体" w:cs="宋体"/>
          <w:b/>
          <w:bCs/>
          <w:color w:val="000000" w:themeColor="text1"/>
          <w:sz w:val="24"/>
          <w:szCs w:val="24"/>
        </w:rPr>
      </w:pPr>
    </w:p>
    <w:p w14:paraId="21FC986C">
      <w:pPr>
        <w:snapToGrid w:val="0"/>
        <w:spacing w:line="400" w:lineRule="exact"/>
        <w:contextualSpacing/>
        <w:rPr>
          <w:rFonts w:hint="default" w:ascii="宋体" w:hAnsi="宋体" w:eastAsia="宋体" w:cs="宋体"/>
          <w:kern w:val="0"/>
          <w:sz w:val="32"/>
          <w:szCs w:val="32"/>
          <w:lang w:val="en-US" w:eastAsia="zh-CN"/>
        </w:rPr>
      </w:pPr>
      <w:r>
        <w:rPr>
          <w:rFonts w:hint="eastAsia" w:ascii="宋体" w:hAnsi="宋体" w:eastAsia="宋体" w:cs="宋体"/>
          <w:kern w:val="0"/>
          <w:sz w:val="32"/>
          <w:szCs w:val="32"/>
          <w:lang w:eastAsia="zh-CN"/>
        </w:rPr>
        <w:t>附件</w:t>
      </w:r>
      <w:r>
        <w:rPr>
          <w:rFonts w:hint="eastAsia" w:ascii="宋体" w:hAnsi="宋体" w:eastAsia="宋体" w:cs="宋体"/>
          <w:kern w:val="0"/>
          <w:sz w:val="32"/>
          <w:szCs w:val="32"/>
          <w:lang w:val="en-US" w:eastAsia="zh-CN"/>
        </w:rPr>
        <w:t>5</w:t>
      </w:r>
    </w:p>
    <w:p w14:paraId="17E34AD2">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技术比选响应函</w:t>
      </w:r>
    </w:p>
    <w:p w14:paraId="5708ECD4">
      <w:pPr>
        <w:pStyle w:val="212"/>
        <w:rPr>
          <w:rFonts w:hint="eastAsia"/>
        </w:rPr>
      </w:pPr>
    </w:p>
    <w:p w14:paraId="186E34B1">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南通市养老服务指导中心：</w:t>
      </w:r>
    </w:p>
    <w:p w14:paraId="46107B7D">
      <w:pPr>
        <w:snapToGrid w:val="0"/>
        <w:spacing w:line="360" w:lineRule="auto"/>
        <w:ind w:firstLine="560" w:firstLineChars="200"/>
        <w:rPr>
          <w:rFonts w:hint="eastAsia" w:ascii="宋体" w:hAnsi="宋体" w:eastAsia="宋体" w:cs="宋体"/>
          <w:sz w:val="28"/>
          <w:szCs w:val="28"/>
        </w:rPr>
      </w:pPr>
      <w:bookmarkStart w:id="6" w:name="_Toc360526535"/>
      <w:bookmarkStart w:id="7" w:name="_Toc342487729"/>
      <w:r>
        <w:rPr>
          <w:rFonts w:hint="eastAsia" w:ascii="宋体" w:hAnsi="宋体" w:eastAsia="宋体" w:cs="宋体"/>
          <w:sz w:val="28"/>
          <w:szCs w:val="28"/>
        </w:rPr>
        <w:t xml:space="preserve">依据贵单位 </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项目名称）项目采购的邀请，我方授权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（职务）为全权代表参加该项目的</w:t>
      </w:r>
      <w:r>
        <w:rPr>
          <w:rFonts w:hint="eastAsia" w:ascii="宋体" w:hAnsi="宋体" w:eastAsia="宋体" w:cs="宋体"/>
          <w:sz w:val="28"/>
          <w:szCs w:val="28"/>
          <w:lang w:eastAsia="zh-CN"/>
        </w:rPr>
        <w:t>比选</w:t>
      </w:r>
      <w:r>
        <w:rPr>
          <w:rFonts w:hint="eastAsia" w:ascii="宋体" w:hAnsi="宋体" w:eastAsia="宋体" w:cs="宋体"/>
          <w:sz w:val="28"/>
          <w:szCs w:val="28"/>
        </w:rPr>
        <w:t>响应工作，全权处理本次采购的有关事宜。同时，我公司声明如下：</w:t>
      </w:r>
    </w:p>
    <w:p w14:paraId="7C97051E">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1、同意并接受</w:t>
      </w:r>
      <w:r>
        <w:rPr>
          <w:rFonts w:hint="eastAsia" w:ascii="宋体" w:hAnsi="宋体" w:eastAsia="宋体" w:cs="宋体"/>
          <w:sz w:val="28"/>
          <w:szCs w:val="28"/>
          <w:lang w:eastAsia="zh-CN"/>
        </w:rPr>
        <w:t>比选</w:t>
      </w:r>
      <w:r>
        <w:rPr>
          <w:rFonts w:hint="eastAsia" w:ascii="宋体" w:hAnsi="宋体" w:eastAsia="宋体" w:cs="宋体"/>
          <w:sz w:val="28"/>
          <w:szCs w:val="28"/>
        </w:rPr>
        <w:t>文件的各项要求，遵守</w:t>
      </w:r>
      <w:r>
        <w:rPr>
          <w:rFonts w:hint="eastAsia" w:ascii="宋体" w:hAnsi="宋体" w:eastAsia="宋体" w:cs="宋体"/>
          <w:sz w:val="28"/>
          <w:szCs w:val="28"/>
          <w:lang w:eastAsia="zh-CN"/>
        </w:rPr>
        <w:t>比选</w:t>
      </w:r>
      <w:r>
        <w:rPr>
          <w:rFonts w:hint="eastAsia" w:ascii="宋体" w:hAnsi="宋体" w:eastAsia="宋体" w:cs="宋体"/>
          <w:sz w:val="28"/>
          <w:szCs w:val="28"/>
        </w:rPr>
        <w:t>文件中的各项规定，按</w:t>
      </w:r>
      <w:r>
        <w:rPr>
          <w:rFonts w:hint="eastAsia" w:ascii="宋体" w:hAnsi="宋体" w:eastAsia="宋体" w:cs="宋体"/>
          <w:sz w:val="28"/>
          <w:szCs w:val="28"/>
          <w:lang w:eastAsia="zh-CN"/>
        </w:rPr>
        <w:t>比选</w:t>
      </w:r>
      <w:r>
        <w:rPr>
          <w:rFonts w:hint="eastAsia" w:ascii="宋体" w:hAnsi="宋体" w:eastAsia="宋体" w:cs="宋体"/>
          <w:sz w:val="28"/>
          <w:szCs w:val="28"/>
        </w:rPr>
        <w:t>文件的要求提供报价。</w:t>
      </w:r>
    </w:p>
    <w:p w14:paraId="0E357D0D">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2、我方已经详细阅读了全部</w:t>
      </w:r>
      <w:r>
        <w:rPr>
          <w:rFonts w:hint="eastAsia" w:ascii="宋体" w:hAnsi="宋体" w:eastAsia="宋体" w:cs="宋体"/>
          <w:sz w:val="28"/>
          <w:szCs w:val="28"/>
          <w:lang w:eastAsia="zh-CN"/>
        </w:rPr>
        <w:t>比选</w:t>
      </w:r>
      <w:r>
        <w:rPr>
          <w:rFonts w:hint="eastAsia" w:ascii="宋体" w:hAnsi="宋体" w:eastAsia="宋体" w:cs="宋体"/>
          <w:sz w:val="28"/>
          <w:szCs w:val="28"/>
        </w:rPr>
        <w:t>文件及其附件，完全清晰理解</w:t>
      </w:r>
      <w:r>
        <w:rPr>
          <w:rFonts w:hint="eastAsia" w:ascii="宋体" w:hAnsi="宋体" w:eastAsia="宋体" w:cs="宋体"/>
          <w:sz w:val="28"/>
          <w:szCs w:val="28"/>
          <w:lang w:eastAsia="zh-CN"/>
        </w:rPr>
        <w:t>比选</w:t>
      </w:r>
      <w:r>
        <w:rPr>
          <w:rFonts w:hint="eastAsia" w:ascii="宋体" w:hAnsi="宋体" w:eastAsia="宋体" w:cs="宋体"/>
          <w:sz w:val="28"/>
          <w:szCs w:val="28"/>
        </w:rPr>
        <w:t>文件的要求，不存在任何含糊不清和误解之处，同意放弃对这些文件所提出的异议和质疑的权利。</w:t>
      </w:r>
    </w:p>
    <w:p w14:paraId="133C5A59">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3、我方已毫无保留地向贵方提供一切所需的证明材料。</w:t>
      </w:r>
    </w:p>
    <w:p w14:paraId="0BB28C9C">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4、我公司承诺在本次</w:t>
      </w:r>
      <w:r>
        <w:rPr>
          <w:rFonts w:hint="eastAsia" w:ascii="宋体" w:hAnsi="宋体" w:eastAsia="宋体" w:cs="宋体"/>
          <w:sz w:val="28"/>
          <w:szCs w:val="28"/>
          <w:lang w:eastAsia="zh-CN"/>
        </w:rPr>
        <w:t>比选</w:t>
      </w:r>
      <w:r>
        <w:rPr>
          <w:rFonts w:hint="eastAsia" w:ascii="宋体" w:hAnsi="宋体" w:eastAsia="宋体" w:cs="宋体"/>
          <w:sz w:val="28"/>
          <w:szCs w:val="28"/>
        </w:rPr>
        <w:t>响应中提供的一切文件，无论是原件还是复印件均真实有效，绝无任何虚假、伪造和夸大的成份。否则，愿承担相应的后果和法律责任。</w:t>
      </w:r>
    </w:p>
    <w:p w14:paraId="04A9C3E9">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5、我方尊重评标委员会所作的评定结果，同时清楚理解到报价最低并非意味着必定获得成交资格。</w:t>
      </w:r>
    </w:p>
    <w:p w14:paraId="1EC5D468">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6、一旦我方成交,我方将根据</w:t>
      </w:r>
      <w:r>
        <w:rPr>
          <w:rFonts w:hint="eastAsia" w:ascii="宋体" w:hAnsi="宋体" w:eastAsia="宋体" w:cs="宋体"/>
          <w:sz w:val="28"/>
          <w:szCs w:val="28"/>
          <w:lang w:eastAsia="zh-CN"/>
        </w:rPr>
        <w:t>比选</w:t>
      </w:r>
      <w:r>
        <w:rPr>
          <w:rFonts w:hint="eastAsia" w:ascii="宋体" w:hAnsi="宋体" w:eastAsia="宋体" w:cs="宋体"/>
          <w:sz w:val="28"/>
          <w:szCs w:val="28"/>
        </w:rPr>
        <w:t>文件的规定，严格履行合同的责任和义务,并保证按</w:t>
      </w:r>
      <w:r>
        <w:rPr>
          <w:rFonts w:hint="eastAsia" w:ascii="宋体" w:hAnsi="宋体" w:eastAsia="宋体" w:cs="宋体"/>
          <w:sz w:val="28"/>
          <w:szCs w:val="28"/>
          <w:lang w:eastAsia="zh-CN"/>
        </w:rPr>
        <w:t>比选</w:t>
      </w:r>
      <w:r>
        <w:rPr>
          <w:rFonts w:hint="eastAsia" w:ascii="宋体" w:hAnsi="宋体" w:eastAsia="宋体" w:cs="宋体"/>
          <w:sz w:val="28"/>
          <w:szCs w:val="28"/>
        </w:rPr>
        <w:t>文件规定的项目工期时间内完成，交付采购人验收、使用。</w:t>
      </w:r>
    </w:p>
    <w:p w14:paraId="6303730E">
      <w:pPr>
        <w:spacing w:line="360" w:lineRule="auto"/>
        <w:rPr>
          <w:rFonts w:ascii="宋体"/>
          <w:color w:val="000000"/>
          <w:sz w:val="24"/>
          <w:szCs w:val="24"/>
        </w:rPr>
      </w:pPr>
    </w:p>
    <w:p w14:paraId="551F1903">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供应商：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（加盖公章）</w:t>
      </w:r>
    </w:p>
    <w:p w14:paraId="6FB6E3EE">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法定代表人或被授权人：          （签字或盖章）</w:t>
      </w:r>
    </w:p>
    <w:p w14:paraId="3121EF8D">
      <w:pPr>
        <w:snapToGrid w:val="0"/>
        <w:spacing w:line="360" w:lineRule="auto"/>
        <w:ind w:firstLine="560" w:firstLineChars="200"/>
        <w:jc w:val="right"/>
        <w:rPr>
          <w:rFonts w:ascii="宋体" w:hAnsi="宋体" w:cs="宋体"/>
          <w:b/>
          <w:bCs/>
          <w:color w:val="000000" w:themeColor="text1"/>
          <w:sz w:val="24"/>
          <w:szCs w:val="24"/>
        </w:rPr>
      </w:pPr>
      <w:r>
        <w:rPr>
          <w:rFonts w:hint="eastAsia" w:ascii="宋体" w:hAnsi="宋体" w:eastAsia="宋体" w:cs="宋体"/>
          <w:sz w:val="28"/>
          <w:szCs w:val="28"/>
        </w:rPr>
        <w:t>年      月     日</w:t>
      </w:r>
      <w:bookmarkEnd w:id="5"/>
      <w:bookmarkEnd w:id="6"/>
      <w:bookmarkEnd w:id="7"/>
    </w:p>
    <w:p w14:paraId="60C449EC">
      <w:pPr>
        <w:snapToGrid w:val="0"/>
        <w:spacing w:line="400" w:lineRule="exact"/>
        <w:contextualSpacing/>
        <w:rPr>
          <w:rFonts w:hint="default" w:ascii="宋体" w:hAnsi="宋体" w:eastAsia="宋体" w:cs="宋体"/>
          <w:kern w:val="0"/>
          <w:sz w:val="32"/>
          <w:szCs w:val="32"/>
          <w:lang w:val="en-US" w:eastAsia="zh-CN"/>
        </w:rPr>
      </w:pPr>
      <w:r>
        <w:rPr>
          <w:rFonts w:hint="eastAsia" w:ascii="宋体" w:hAnsi="宋体" w:eastAsia="宋体" w:cs="宋体"/>
          <w:kern w:val="0"/>
          <w:sz w:val="32"/>
          <w:szCs w:val="32"/>
          <w:lang w:eastAsia="zh-CN"/>
        </w:rPr>
        <w:t>附件</w:t>
      </w:r>
      <w:r>
        <w:rPr>
          <w:rFonts w:hint="eastAsia" w:ascii="宋体" w:hAnsi="宋体" w:eastAsia="宋体" w:cs="宋体"/>
          <w:kern w:val="0"/>
          <w:sz w:val="32"/>
          <w:szCs w:val="32"/>
          <w:lang w:val="en-US" w:eastAsia="zh-CN"/>
        </w:rPr>
        <w:t>6</w:t>
      </w:r>
    </w:p>
    <w:p w14:paraId="613944F9">
      <w:pPr>
        <w:widowControl/>
        <w:spacing w:before="100" w:beforeAutospacing="1" w:after="100" w:afterAutospacing="1" w:line="500" w:lineRule="atLeast"/>
        <w:jc w:val="center"/>
        <w:rPr>
          <w:rFonts w:hint="eastAsia" w:ascii="宋体" w:hAnsi="宋体" w:cs="宋体"/>
          <w:kern w:val="0"/>
          <w:sz w:val="32"/>
          <w:szCs w:val="32"/>
        </w:rPr>
      </w:pPr>
      <w:r>
        <w:rPr>
          <w:rFonts w:hint="eastAsia" w:ascii="宋体" w:hAnsi="宋体" w:cs="宋体"/>
          <w:b/>
          <w:bCs/>
          <w:kern w:val="0"/>
          <w:sz w:val="32"/>
          <w:szCs w:val="32"/>
        </w:rPr>
        <w:t>报价总表</w:t>
      </w:r>
    </w:p>
    <w:p w14:paraId="373083E0">
      <w:pPr>
        <w:rPr>
          <w:rFonts w:hint="eastAsia" w:ascii="宋体" w:hAnsi="宋体" w:cs="宋体"/>
          <w:kern w:val="0"/>
          <w:sz w:val="28"/>
          <w:szCs w:val="28"/>
          <w:u w:val="single"/>
        </w:rPr>
      </w:pPr>
      <w:r>
        <w:rPr>
          <w:rFonts w:hint="eastAsia" w:ascii="宋体" w:hAnsi="宋体" w:cs="宋体"/>
          <w:kern w:val="0"/>
          <w:sz w:val="28"/>
          <w:szCs w:val="28"/>
        </w:rPr>
        <w:t>供应商全称（加盖公章）：</w:t>
      </w:r>
    </w:p>
    <w:tbl>
      <w:tblPr>
        <w:tblStyle w:val="5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7452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76200A66">
            <w:pPr>
              <w:jc w:val="center"/>
              <w:rPr>
                <w:rFonts w:hint="eastAsia" w:ascii="宋体" w:hAnsi="宋体" w:cs="宋体"/>
                <w:szCs w:val="22"/>
              </w:rPr>
            </w:pPr>
            <w:r>
              <w:rPr>
                <w:rFonts w:hint="eastAsia" w:ascii="宋体" w:hAnsi="宋体" w:cs="宋体"/>
                <w:sz w:val="28"/>
                <w:szCs w:val="28"/>
                <w:lang w:eastAsia="zh-CN"/>
              </w:rPr>
              <w:t>项目</w:t>
            </w:r>
            <w:r>
              <w:rPr>
                <w:rFonts w:hint="eastAsia" w:ascii="宋体" w:hAnsi="宋体" w:cs="宋体"/>
                <w:kern w:val="0"/>
                <w:sz w:val="28"/>
                <w:szCs w:val="28"/>
              </w:rPr>
              <w:t>服务名称</w:t>
            </w:r>
          </w:p>
        </w:tc>
        <w:tc>
          <w:tcPr>
            <w:tcW w:w="4607" w:type="dxa"/>
            <w:noWrap w:val="0"/>
            <w:vAlign w:val="top"/>
          </w:tcPr>
          <w:p w14:paraId="548C4998">
            <w:pPr>
              <w:jc w:val="center"/>
              <w:rPr>
                <w:rFonts w:hint="eastAsia" w:ascii="宋体" w:hAnsi="宋体" w:cs="宋体"/>
                <w:szCs w:val="22"/>
              </w:rPr>
            </w:pPr>
            <w:r>
              <w:rPr>
                <w:rFonts w:hint="eastAsia" w:ascii="宋体" w:hAnsi="宋体" w:cs="宋体"/>
                <w:kern w:val="0"/>
                <w:sz w:val="28"/>
                <w:szCs w:val="28"/>
              </w:rPr>
              <w:t>总报价</w:t>
            </w:r>
          </w:p>
        </w:tc>
      </w:tr>
      <w:tr w14:paraId="6313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558159EE">
            <w:pPr>
              <w:rPr>
                <w:rFonts w:hint="eastAsia" w:ascii="宋体" w:hAnsi="宋体" w:cs="宋体"/>
                <w:szCs w:val="22"/>
              </w:rPr>
            </w:pPr>
          </w:p>
        </w:tc>
        <w:tc>
          <w:tcPr>
            <w:tcW w:w="4607" w:type="dxa"/>
            <w:noWrap w:val="0"/>
            <w:vAlign w:val="top"/>
          </w:tcPr>
          <w:p w14:paraId="73F8C56D">
            <w:pPr>
              <w:rPr>
                <w:rFonts w:hint="eastAsia" w:ascii="宋体" w:hAnsi="宋体" w:cs="宋体"/>
                <w:kern w:val="0"/>
                <w:sz w:val="28"/>
                <w:szCs w:val="28"/>
              </w:rPr>
            </w:pPr>
            <w:r>
              <w:rPr>
                <w:rFonts w:hint="eastAsia" w:ascii="宋体" w:hAnsi="宋体" w:cs="宋体"/>
                <w:kern w:val="0"/>
                <w:sz w:val="28"/>
                <w:szCs w:val="28"/>
              </w:rPr>
              <w:t>大写：</w:t>
            </w:r>
          </w:p>
          <w:p w14:paraId="44DF3BFF">
            <w:pPr>
              <w:rPr>
                <w:rFonts w:hint="eastAsia" w:ascii="宋体" w:hAnsi="宋体" w:cs="宋体"/>
                <w:szCs w:val="22"/>
                <w:u w:val="single"/>
              </w:rPr>
            </w:pPr>
            <w:r>
              <w:rPr>
                <w:rFonts w:hint="eastAsia" w:ascii="宋体" w:hAnsi="宋体" w:cs="宋体"/>
                <w:kern w:val="0"/>
                <w:sz w:val="28"/>
                <w:szCs w:val="28"/>
              </w:rPr>
              <w:t>小写：</w:t>
            </w:r>
            <w:r>
              <w:rPr>
                <w:rFonts w:hint="eastAsia" w:ascii="宋体" w:hAnsi="宋体" w:cs="宋体"/>
                <w:kern w:val="0"/>
                <w:sz w:val="28"/>
                <w:szCs w:val="28"/>
                <w:lang w:val="en-US" w:eastAsia="zh-CN"/>
              </w:rPr>
              <w:t xml:space="preserve">      </w:t>
            </w:r>
            <w:r>
              <w:rPr>
                <w:rFonts w:hint="eastAsia" w:ascii="宋体" w:hAnsi="宋体" w:cs="宋体"/>
                <w:kern w:val="0"/>
                <w:sz w:val="28"/>
                <w:szCs w:val="28"/>
              </w:rPr>
              <w:t>元/年（人民币）</w:t>
            </w:r>
          </w:p>
        </w:tc>
      </w:tr>
    </w:tbl>
    <w:p w14:paraId="6A64CA4F">
      <w:pPr>
        <w:rPr>
          <w:rFonts w:hint="eastAsia" w:ascii="宋体" w:hAnsi="宋体" w:cs="宋体"/>
          <w:kern w:val="0"/>
          <w:sz w:val="28"/>
          <w:szCs w:val="28"/>
        </w:rPr>
      </w:pPr>
      <w:r>
        <w:rPr>
          <w:rFonts w:hint="eastAsia" w:ascii="宋体" w:hAnsi="宋体" w:cs="宋体"/>
          <w:kern w:val="0"/>
          <w:sz w:val="28"/>
          <w:szCs w:val="28"/>
        </w:rPr>
        <w:t>日期：</w:t>
      </w:r>
    </w:p>
    <w:p w14:paraId="553D80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kern w:val="0"/>
          <w:sz w:val="28"/>
          <w:szCs w:val="28"/>
        </w:rPr>
      </w:pPr>
      <w:r>
        <w:rPr>
          <w:rFonts w:hint="eastAsia" w:ascii="宋体" w:hAnsi="宋体" w:cs="宋体"/>
          <w:kern w:val="0"/>
          <w:sz w:val="28"/>
          <w:szCs w:val="28"/>
        </w:rPr>
        <w:t>注：1、本项目投标报价包含电梯维保服务费、更换零配件人工费、人员工资、福利、依法应缴纳的保险、工作服、技术服务费、电梯责任保险费、税金等与承诺达到国家规定的电梯维保要求所发生的费用。</w:t>
      </w:r>
    </w:p>
    <w:p w14:paraId="0449B8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kern w:val="0"/>
          <w:sz w:val="28"/>
          <w:szCs w:val="28"/>
        </w:rPr>
      </w:pPr>
      <w:r>
        <w:rPr>
          <w:rFonts w:hint="eastAsia" w:ascii="宋体" w:hAnsi="宋体" w:cs="宋体"/>
          <w:kern w:val="0"/>
          <w:sz w:val="28"/>
          <w:szCs w:val="28"/>
        </w:rPr>
        <w:t xml:space="preserve">    2、维保过程中的需更换的设备、零部件、外送修理等，单件且单次总价在200元（含200元）及以下的费用包含在投标报价中。</w:t>
      </w:r>
    </w:p>
    <w:p w14:paraId="06D8F1E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kern w:val="0"/>
          <w:sz w:val="28"/>
          <w:szCs w:val="28"/>
        </w:rPr>
      </w:pPr>
      <w:r>
        <w:rPr>
          <w:rFonts w:hint="eastAsia" w:ascii="宋体" w:hAnsi="宋体" w:cs="宋体"/>
          <w:kern w:val="0"/>
          <w:sz w:val="28"/>
          <w:szCs w:val="28"/>
        </w:rPr>
        <w:t xml:space="preserve">   </w:t>
      </w:r>
      <w:r>
        <w:rPr>
          <w:rFonts w:hint="eastAsia" w:ascii="宋体" w:hAnsi="宋体" w:cs="宋体"/>
          <w:b/>
          <w:bCs/>
          <w:kern w:val="0"/>
          <w:sz w:val="28"/>
          <w:szCs w:val="28"/>
        </w:rPr>
        <w:t xml:space="preserve"> 3、本表为格式表，不得自行改动，必须提供。</w:t>
      </w:r>
    </w:p>
    <w:p w14:paraId="0DD63B55">
      <w:pPr>
        <w:spacing w:line="480" w:lineRule="exact"/>
        <w:ind w:firstLine="4800" w:firstLineChars="2000"/>
        <w:rPr>
          <w:rFonts w:hAnsi="宋体"/>
          <w:color w:val="000000" w:themeColor="text1"/>
          <w:sz w:val="24"/>
          <w:szCs w:val="24"/>
        </w:rPr>
      </w:pPr>
    </w:p>
    <w:p w14:paraId="6768491F">
      <w:pPr>
        <w:snapToGrid w:val="0"/>
        <w:spacing w:line="480" w:lineRule="exact"/>
        <w:ind w:firstLine="480" w:firstLineChars="200"/>
        <w:rPr>
          <w:rFonts w:ascii="宋体"/>
          <w:b/>
          <w:bCs/>
          <w:color w:val="000000" w:themeColor="text1"/>
          <w:sz w:val="24"/>
          <w:szCs w:val="24"/>
        </w:rPr>
      </w:pPr>
    </w:p>
    <w:p w14:paraId="79750341">
      <w:pPr>
        <w:snapToGrid w:val="0"/>
        <w:spacing w:line="480" w:lineRule="exact"/>
        <w:ind w:firstLine="480" w:firstLineChars="200"/>
        <w:rPr>
          <w:rFonts w:ascii="宋体"/>
          <w:b/>
          <w:bCs/>
          <w:color w:val="000000" w:themeColor="text1"/>
          <w:sz w:val="24"/>
          <w:szCs w:val="24"/>
        </w:rPr>
      </w:pPr>
    </w:p>
    <w:p w14:paraId="05CA6112">
      <w:pPr>
        <w:snapToGrid w:val="0"/>
        <w:spacing w:line="480" w:lineRule="exact"/>
        <w:ind w:firstLine="480" w:firstLineChars="200"/>
        <w:rPr>
          <w:rFonts w:ascii="宋体"/>
          <w:b/>
          <w:bCs/>
          <w:color w:val="000000" w:themeColor="text1"/>
          <w:sz w:val="24"/>
          <w:szCs w:val="24"/>
        </w:rPr>
      </w:pPr>
    </w:p>
    <w:p w14:paraId="669C9F18">
      <w:pPr>
        <w:snapToGrid w:val="0"/>
        <w:spacing w:line="480" w:lineRule="exact"/>
        <w:ind w:firstLine="480" w:firstLineChars="200"/>
        <w:rPr>
          <w:rFonts w:ascii="宋体"/>
          <w:b/>
          <w:bCs/>
          <w:color w:val="000000" w:themeColor="text1"/>
          <w:sz w:val="24"/>
          <w:szCs w:val="24"/>
        </w:rPr>
      </w:pPr>
    </w:p>
    <w:p w14:paraId="6C1D32A9">
      <w:pPr>
        <w:snapToGrid w:val="0"/>
        <w:spacing w:line="480" w:lineRule="exact"/>
        <w:ind w:firstLine="480" w:firstLineChars="200"/>
        <w:rPr>
          <w:rFonts w:ascii="宋体"/>
          <w:b/>
          <w:bCs/>
          <w:color w:val="000000" w:themeColor="text1"/>
          <w:sz w:val="24"/>
          <w:szCs w:val="24"/>
        </w:rPr>
      </w:pPr>
    </w:p>
    <w:p w14:paraId="438AC0DF">
      <w:pPr>
        <w:snapToGrid w:val="0"/>
        <w:spacing w:line="480" w:lineRule="exact"/>
        <w:ind w:firstLine="480" w:firstLineChars="200"/>
        <w:rPr>
          <w:rFonts w:ascii="宋体"/>
          <w:b/>
          <w:bCs/>
          <w:color w:val="000000" w:themeColor="text1"/>
          <w:sz w:val="24"/>
          <w:szCs w:val="24"/>
        </w:rPr>
      </w:pPr>
    </w:p>
    <w:p w14:paraId="3E74126B">
      <w:pPr>
        <w:snapToGrid w:val="0"/>
        <w:spacing w:line="480" w:lineRule="exact"/>
        <w:ind w:firstLine="480" w:firstLineChars="200"/>
        <w:rPr>
          <w:rFonts w:ascii="宋体"/>
          <w:b/>
          <w:bCs/>
          <w:color w:val="000000" w:themeColor="text1"/>
          <w:sz w:val="24"/>
          <w:szCs w:val="24"/>
        </w:rPr>
      </w:pPr>
    </w:p>
    <w:p w14:paraId="6A4329DC">
      <w:pPr>
        <w:snapToGrid w:val="0"/>
        <w:spacing w:line="480" w:lineRule="exact"/>
        <w:ind w:firstLine="480" w:firstLineChars="200"/>
        <w:rPr>
          <w:rFonts w:ascii="宋体"/>
          <w:b/>
          <w:bCs/>
          <w:color w:val="000000" w:themeColor="text1"/>
          <w:sz w:val="24"/>
          <w:szCs w:val="24"/>
        </w:rPr>
      </w:pPr>
    </w:p>
    <w:p w14:paraId="557E1CD0">
      <w:pPr>
        <w:snapToGrid w:val="0"/>
        <w:spacing w:line="480" w:lineRule="exact"/>
        <w:ind w:firstLine="480" w:firstLineChars="200"/>
        <w:rPr>
          <w:rFonts w:ascii="宋体"/>
          <w:b/>
          <w:bCs/>
          <w:color w:val="000000" w:themeColor="text1"/>
          <w:sz w:val="24"/>
          <w:szCs w:val="24"/>
        </w:rPr>
      </w:pPr>
    </w:p>
    <w:p w14:paraId="45BA723A">
      <w:pPr>
        <w:snapToGrid w:val="0"/>
        <w:spacing w:line="480" w:lineRule="exact"/>
        <w:ind w:firstLine="480" w:firstLineChars="200"/>
        <w:rPr>
          <w:rFonts w:ascii="宋体"/>
          <w:b/>
          <w:bCs/>
          <w:color w:val="000000" w:themeColor="text1"/>
          <w:sz w:val="24"/>
          <w:szCs w:val="24"/>
        </w:rPr>
      </w:pPr>
    </w:p>
    <w:p w14:paraId="6B08BD3A">
      <w:pPr>
        <w:snapToGrid w:val="0"/>
        <w:spacing w:line="480" w:lineRule="exact"/>
        <w:ind w:firstLine="480" w:firstLineChars="200"/>
        <w:rPr>
          <w:rFonts w:ascii="宋体"/>
          <w:b/>
          <w:bCs/>
          <w:color w:val="000000" w:themeColor="text1"/>
          <w:sz w:val="24"/>
          <w:szCs w:val="24"/>
        </w:rPr>
      </w:pPr>
    </w:p>
    <w:p w14:paraId="6C45CF06">
      <w:pPr>
        <w:adjustRightInd w:val="0"/>
        <w:snapToGrid w:val="0"/>
        <w:spacing w:before="240" w:beforeLines="100" w:line="460" w:lineRule="exact"/>
        <w:rPr>
          <w:rFonts w:hint="eastAsia" w:ascii="宋体" w:hAnsi="宋体" w:cs="宋体"/>
          <w:bCs/>
          <w:sz w:val="28"/>
          <w:szCs w:val="28"/>
        </w:rPr>
      </w:pPr>
    </w:p>
    <w:p w14:paraId="1DCBA0ED">
      <w:pPr>
        <w:snapToGrid w:val="0"/>
        <w:spacing w:line="400" w:lineRule="exact"/>
        <w:contextualSpacing/>
        <w:rPr>
          <w:rFonts w:hint="default" w:ascii="宋体" w:hAnsi="宋体" w:eastAsia="宋体" w:cs="宋体"/>
          <w:kern w:val="0"/>
          <w:sz w:val="32"/>
          <w:szCs w:val="32"/>
          <w:lang w:val="en-US" w:eastAsia="zh-CN"/>
        </w:rPr>
      </w:pPr>
      <w:r>
        <w:rPr>
          <w:rFonts w:hint="eastAsia" w:ascii="宋体" w:hAnsi="宋体" w:eastAsia="宋体" w:cs="宋体"/>
          <w:kern w:val="0"/>
          <w:sz w:val="32"/>
          <w:szCs w:val="32"/>
          <w:lang w:eastAsia="zh-CN"/>
        </w:rPr>
        <w:t>附件</w:t>
      </w:r>
      <w:r>
        <w:rPr>
          <w:rFonts w:hint="eastAsia" w:ascii="宋体" w:hAnsi="宋体" w:cs="宋体"/>
          <w:kern w:val="0"/>
          <w:sz w:val="32"/>
          <w:szCs w:val="32"/>
          <w:lang w:val="en-US" w:eastAsia="zh-CN"/>
        </w:rPr>
        <w:t>7</w:t>
      </w:r>
    </w:p>
    <w:p w14:paraId="35D24185">
      <w:pPr>
        <w:tabs>
          <w:tab w:val="left" w:pos="3521"/>
          <w:tab w:val="center" w:pos="4394"/>
        </w:tabs>
        <w:snapToGrid w:val="0"/>
        <w:spacing w:line="480" w:lineRule="exact"/>
        <w:ind w:firstLine="640" w:firstLineChars="200"/>
        <w:jc w:val="center"/>
        <w:rPr>
          <w:rFonts w:hint="eastAsia" w:ascii="宋体" w:hAnsi="Times New Roman" w:eastAsia="宋体" w:cs="Times New Roman"/>
          <w:b/>
          <w:bCs/>
          <w:color w:val="000000" w:themeColor="text1"/>
          <w:sz w:val="32"/>
          <w:szCs w:val="32"/>
        </w:rPr>
      </w:pPr>
      <w:r>
        <w:rPr>
          <w:rFonts w:hint="eastAsia" w:ascii="宋体" w:hAnsi="Times New Roman" w:eastAsia="宋体" w:cs="Times New Roman"/>
          <w:b/>
          <w:bCs/>
          <w:color w:val="000000" w:themeColor="text1"/>
          <w:sz w:val="32"/>
          <w:szCs w:val="32"/>
        </w:rPr>
        <w:t>质疑函范本</w:t>
      </w:r>
    </w:p>
    <w:p w14:paraId="0D3CD24E">
      <w:pPr>
        <w:adjustRightInd w:val="0"/>
        <w:snapToGrid w:val="0"/>
        <w:spacing w:before="240" w:beforeLines="100" w:line="460" w:lineRule="exact"/>
        <w:rPr>
          <w:rFonts w:hint="eastAsia" w:ascii="宋体" w:hAnsi="宋体" w:cs="宋体"/>
          <w:bCs/>
          <w:sz w:val="28"/>
          <w:szCs w:val="28"/>
        </w:rPr>
      </w:pPr>
      <w:r>
        <w:rPr>
          <w:rFonts w:hint="eastAsia" w:ascii="宋体" w:hAnsi="宋体" w:cs="宋体"/>
          <w:bCs/>
          <w:sz w:val="28"/>
          <w:szCs w:val="28"/>
        </w:rPr>
        <w:t>一、质疑供应商基本信息</w:t>
      </w:r>
    </w:p>
    <w:p w14:paraId="0893C615">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质疑供应商：</w:t>
      </w:r>
    </w:p>
    <w:p w14:paraId="691021B7">
      <w:pPr>
        <w:adjustRightInd w:val="0"/>
        <w:snapToGrid w:val="0"/>
        <w:spacing w:line="460" w:lineRule="exact"/>
        <w:rPr>
          <w:rFonts w:hint="eastAsia" w:ascii="宋体" w:hAnsi="宋体" w:cs="宋体"/>
          <w:sz w:val="28"/>
          <w:szCs w:val="28"/>
        </w:rPr>
      </w:pPr>
      <w:r>
        <w:rPr>
          <w:rFonts w:hint="eastAsia" w:ascii="宋体" w:hAnsi="宋体" w:cs="宋体"/>
          <w:sz w:val="28"/>
          <w:szCs w:val="28"/>
        </w:rPr>
        <w:t>地址：邮编：</w:t>
      </w:r>
    </w:p>
    <w:p w14:paraId="0A655374">
      <w:pPr>
        <w:adjustRightInd w:val="0"/>
        <w:snapToGrid w:val="0"/>
        <w:spacing w:line="460" w:lineRule="exact"/>
        <w:rPr>
          <w:rFonts w:hint="eastAsia" w:ascii="宋体" w:hAnsi="宋体" w:cs="宋体"/>
          <w:sz w:val="28"/>
          <w:szCs w:val="28"/>
        </w:rPr>
      </w:pPr>
      <w:r>
        <w:rPr>
          <w:rFonts w:hint="eastAsia" w:ascii="宋体" w:hAnsi="宋体" w:cs="宋体"/>
          <w:sz w:val="28"/>
          <w:szCs w:val="28"/>
        </w:rPr>
        <w:t>联系人：联系电话：</w:t>
      </w:r>
    </w:p>
    <w:p w14:paraId="3509292D">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授权代表：</w:t>
      </w:r>
    </w:p>
    <w:p w14:paraId="1FC3C175">
      <w:pPr>
        <w:adjustRightInd w:val="0"/>
        <w:snapToGrid w:val="0"/>
        <w:spacing w:line="460" w:lineRule="exact"/>
        <w:rPr>
          <w:rFonts w:hint="eastAsia" w:ascii="宋体" w:hAnsi="宋体" w:cs="宋体"/>
          <w:sz w:val="28"/>
          <w:szCs w:val="28"/>
        </w:rPr>
      </w:pPr>
      <w:r>
        <w:rPr>
          <w:rFonts w:hint="eastAsia" w:ascii="宋体" w:hAnsi="宋体" w:cs="宋体"/>
          <w:sz w:val="28"/>
          <w:szCs w:val="28"/>
        </w:rPr>
        <w:t>联系电话：</w:t>
      </w:r>
    </w:p>
    <w:p w14:paraId="06FF5EDF">
      <w:pPr>
        <w:adjustRightInd w:val="0"/>
        <w:snapToGrid w:val="0"/>
        <w:spacing w:line="460" w:lineRule="exact"/>
        <w:rPr>
          <w:rFonts w:hint="eastAsia" w:ascii="宋体" w:hAnsi="宋体" w:cs="宋体"/>
          <w:sz w:val="28"/>
          <w:szCs w:val="28"/>
        </w:rPr>
      </w:pPr>
      <w:r>
        <w:rPr>
          <w:rFonts w:hint="eastAsia" w:ascii="宋体" w:hAnsi="宋体" w:cs="宋体"/>
          <w:sz w:val="28"/>
          <w:szCs w:val="28"/>
        </w:rPr>
        <w:t>地址：邮编：</w:t>
      </w:r>
    </w:p>
    <w:p w14:paraId="057F1631">
      <w:pPr>
        <w:adjustRightInd w:val="0"/>
        <w:snapToGrid w:val="0"/>
        <w:spacing w:line="460" w:lineRule="exact"/>
        <w:rPr>
          <w:rFonts w:hint="eastAsia" w:ascii="宋体" w:hAnsi="宋体" w:cs="宋体"/>
          <w:bCs/>
          <w:sz w:val="28"/>
          <w:szCs w:val="28"/>
        </w:rPr>
      </w:pPr>
      <w:r>
        <w:rPr>
          <w:rFonts w:hint="eastAsia" w:ascii="宋体" w:hAnsi="宋体" w:cs="宋体"/>
          <w:bCs/>
          <w:sz w:val="28"/>
          <w:szCs w:val="28"/>
        </w:rPr>
        <w:t>二、质疑项目基本情况</w:t>
      </w:r>
    </w:p>
    <w:p w14:paraId="744A5B82">
      <w:pPr>
        <w:adjustRightInd w:val="0"/>
        <w:snapToGrid w:val="0"/>
        <w:spacing w:line="460" w:lineRule="exact"/>
        <w:rPr>
          <w:rFonts w:hint="eastAsia" w:ascii="宋体" w:hAnsi="宋体" w:cs="宋体"/>
          <w:sz w:val="28"/>
          <w:szCs w:val="28"/>
        </w:rPr>
      </w:pPr>
      <w:r>
        <w:rPr>
          <w:rFonts w:hint="eastAsia" w:ascii="宋体" w:hAnsi="宋体" w:cs="宋体"/>
          <w:sz w:val="28"/>
          <w:szCs w:val="28"/>
        </w:rPr>
        <w:t>质疑项目的名称：</w:t>
      </w:r>
    </w:p>
    <w:p w14:paraId="33EA0F25">
      <w:pPr>
        <w:adjustRightInd w:val="0"/>
        <w:snapToGrid w:val="0"/>
        <w:spacing w:line="460" w:lineRule="exact"/>
        <w:rPr>
          <w:rFonts w:hint="eastAsia" w:ascii="宋体" w:hAnsi="宋体" w:cs="宋体"/>
          <w:sz w:val="28"/>
          <w:szCs w:val="28"/>
        </w:rPr>
      </w:pPr>
      <w:r>
        <w:rPr>
          <w:rFonts w:hint="eastAsia" w:ascii="宋体" w:hAnsi="宋体" w:cs="宋体"/>
          <w:sz w:val="28"/>
          <w:szCs w:val="28"/>
        </w:rPr>
        <w:t>质疑项目的编号：包号：</w:t>
      </w:r>
    </w:p>
    <w:p w14:paraId="1833286C">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采购人名称：</w:t>
      </w:r>
    </w:p>
    <w:p w14:paraId="375909CE">
      <w:pPr>
        <w:adjustRightInd w:val="0"/>
        <w:snapToGrid w:val="0"/>
        <w:spacing w:line="460" w:lineRule="exact"/>
        <w:rPr>
          <w:rFonts w:hint="eastAsia" w:ascii="宋体" w:hAnsi="宋体" w:cs="宋体"/>
          <w:sz w:val="28"/>
          <w:szCs w:val="28"/>
        </w:rPr>
      </w:pPr>
      <w:r>
        <w:rPr>
          <w:rFonts w:hint="eastAsia" w:ascii="宋体" w:hAnsi="宋体" w:cs="宋体"/>
          <w:sz w:val="28"/>
          <w:szCs w:val="28"/>
        </w:rPr>
        <w:t>采购文件获取日期：</w:t>
      </w:r>
    </w:p>
    <w:p w14:paraId="3D081B72">
      <w:pPr>
        <w:adjustRightInd w:val="0"/>
        <w:snapToGrid w:val="0"/>
        <w:spacing w:line="460" w:lineRule="exact"/>
        <w:rPr>
          <w:rFonts w:hint="eastAsia" w:ascii="宋体" w:hAnsi="宋体" w:cs="宋体"/>
          <w:bCs/>
          <w:sz w:val="28"/>
          <w:szCs w:val="28"/>
        </w:rPr>
      </w:pPr>
      <w:r>
        <w:rPr>
          <w:rFonts w:hint="eastAsia" w:ascii="宋体" w:hAnsi="宋体" w:cs="宋体"/>
          <w:bCs/>
          <w:sz w:val="28"/>
          <w:szCs w:val="28"/>
        </w:rPr>
        <w:t>三、质疑事项具体内容</w:t>
      </w:r>
    </w:p>
    <w:p w14:paraId="5938D259">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质疑事项1：</w:t>
      </w:r>
    </w:p>
    <w:p w14:paraId="25665BE6">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事实依据：</w:t>
      </w:r>
    </w:p>
    <w:p w14:paraId="3D6EE8C1">
      <w:pPr>
        <w:adjustRightInd w:val="0"/>
        <w:snapToGrid w:val="0"/>
        <w:spacing w:line="460" w:lineRule="exact"/>
        <w:rPr>
          <w:rFonts w:hint="eastAsia" w:ascii="宋体" w:hAnsi="宋体" w:cs="宋体"/>
          <w:sz w:val="28"/>
          <w:szCs w:val="28"/>
        </w:rPr>
      </w:pPr>
    </w:p>
    <w:p w14:paraId="4B0FFDCF">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法律依据：</w:t>
      </w:r>
    </w:p>
    <w:p w14:paraId="77D9D425">
      <w:pPr>
        <w:adjustRightInd w:val="0"/>
        <w:snapToGrid w:val="0"/>
        <w:spacing w:line="460" w:lineRule="exact"/>
        <w:rPr>
          <w:rFonts w:hint="eastAsia" w:ascii="宋体" w:hAnsi="宋体" w:cs="宋体"/>
          <w:sz w:val="28"/>
          <w:szCs w:val="28"/>
          <w:u w:val="dotted"/>
        </w:rPr>
      </w:pPr>
    </w:p>
    <w:p w14:paraId="59B950A3">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质疑事项2</w:t>
      </w:r>
    </w:p>
    <w:p w14:paraId="2B8B7E6E">
      <w:pPr>
        <w:adjustRightInd w:val="0"/>
        <w:snapToGrid w:val="0"/>
        <w:spacing w:line="460" w:lineRule="exact"/>
        <w:rPr>
          <w:rFonts w:hint="eastAsia" w:ascii="宋体" w:hAnsi="宋体" w:cs="宋体"/>
          <w:sz w:val="28"/>
          <w:szCs w:val="28"/>
        </w:rPr>
      </w:pPr>
      <w:r>
        <w:rPr>
          <w:rFonts w:hint="eastAsia" w:ascii="宋体" w:hAnsi="宋体" w:cs="宋体"/>
          <w:sz w:val="28"/>
          <w:szCs w:val="28"/>
        </w:rPr>
        <w:t>……</w:t>
      </w:r>
    </w:p>
    <w:p w14:paraId="6C3C26FF">
      <w:pPr>
        <w:adjustRightInd w:val="0"/>
        <w:snapToGrid w:val="0"/>
        <w:spacing w:line="460" w:lineRule="exact"/>
        <w:rPr>
          <w:rFonts w:hint="eastAsia" w:ascii="宋体" w:hAnsi="宋体" w:cs="宋体"/>
          <w:bCs/>
          <w:sz w:val="28"/>
          <w:szCs w:val="28"/>
        </w:rPr>
      </w:pPr>
      <w:r>
        <w:rPr>
          <w:rFonts w:hint="eastAsia" w:ascii="宋体" w:hAnsi="宋体" w:cs="宋体"/>
          <w:bCs/>
          <w:sz w:val="28"/>
          <w:szCs w:val="28"/>
        </w:rPr>
        <w:t>四、与质疑事项相关的质疑请求</w:t>
      </w:r>
    </w:p>
    <w:p w14:paraId="2E3B46D7">
      <w:pPr>
        <w:adjustRightInd w:val="0"/>
        <w:snapToGrid w:val="0"/>
        <w:spacing w:line="460" w:lineRule="exact"/>
        <w:rPr>
          <w:rFonts w:hint="eastAsia" w:ascii="宋体" w:hAnsi="宋体" w:cs="宋体"/>
          <w:sz w:val="28"/>
          <w:szCs w:val="28"/>
          <w:u w:val="dotted"/>
        </w:rPr>
      </w:pPr>
      <w:r>
        <w:rPr>
          <w:rFonts w:hint="eastAsia" w:ascii="宋体" w:hAnsi="宋体" w:cs="宋体"/>
          <w:sz w:val="28"/>
          <w:szCs w:val="28"/>
        </w:rPr>
        <w:t>请求：</w:t>
      </w:r>
    </w:p>
    <w:p w14:paraId="21EB5EFA">
      <w:pPr>
        <w:spacing w:line="460" w:lineRule="exact"/>
        <w:rPr>
          <w:rFonts w:hint="eastAsia" w:ascii="宋体" w:hAnsi="宋体" w:cs="宋体"/>
          <w:sz w:val="28"/>
          <w:szCs w:val="28"/>
        </w:rPr>
      </w:pPr>
      <w:r>
        <w:rPr>
          <w:rFonts w:hint="eastAsia" w:ascii="宋体" w:hAnsi="宋体" w:cs="宋体"/>
          <w:sz w:val="28"/>
          <w:szCs w:val="28"/>
        </w:rPr>
        <w:t xml:space="preserve">签字(签章)：                   公章：                      </w:t>
      </w:r>
    </w:p>
    <w:p w14:paraId="7EB872DD">
      <w:pPr>
        <w:spacing w:line="460" w:lineRule="exact"/>
        <w:rPr>
          <w:rFonts w:hint="eastAsia" w:ascii="宋体" w:hAnsi="宋体" w:cs="宋体"/>
          <w:sz w:val="28"/>
          <w:szCs w:val="28"/>
        </w:rPr>
      </w:pPr>
      <w:r>
        <w:rPr>
          <w:rFonts w:hint="eastAsia" w:ascii="宋体" w:hAnsi="宋体" w:cs="宋体"/>
          <w:sz w:val="28"/>
          <w:szCs w:val="28"/>
        </w:rPr>
        <w:t xml:space="preserve">日期：    </w:t>
      </w:r>
    </w:p>
    <w:p w14:paraId="043FFEEC">
      <w:pPr>
        <w:adjustRightInd w:val="0"/>
        <w:snapToGrid w:val="0"/>
        <w:spacing w:line="460" w:lineRule="exact"/>
        <w:rPr>
          <w:rFonts w:hint="eastAsia" w:ascii="宋体" w:hAnsi="宋体" w:cs="宋体"/>
          <w:sz w:val="28"/>
          <w:szCs w:val="28"/>
        </w:rPr>
      </w:pPr>
    </w:p>
    <w:p w14:paraId="4036BE4A">
      <w:pPr>
        <w:spacing w:line="460" w:lineRule="exact"/>
        <w:rPr>
          <w:rFonts w:hint="eastAsia" w:ascii="宋体" w:hAnsi="宋体" w:cs="宋体"/>
          <w:b/>
          <w:sz w:val="28"/>
          <w:szCs w:val="28"/>
        </w:rPr>
      </w:pPr>
    </w:p>
    <w:p w14:paraId="52897E0C">
      <w:pPr>
        <w:spacing w:line="460" w:lineRule="exact"/>
        <w:rPr>
          <w:rFonts w:hint="eastAsia" w:ascii="宋体" w:hAnsi="宋体" w:cs="宋体"/>
          <w:b/>
          <w:sz w:val="28"/>
          <w:szCs w:val="28"/>
        </w:rPr>
      </w:pPr>
    </w:p>
    <w:p w14:paraId="459D81A9">
      <w:pPr>
        <w:spacing w:line="460" w:lineRule="exact"/>
        <w:rPr>
          <w:rFonts w:hint="eastAsia" w:ascii="宋体" w:hAnsi="宋体" w:cs="宋体"/>
          <w:b/>
          <w:sz w:val="28"/>
          <w:szCs w:val="28"/>
        </w:rPr>
      </w:pPr>
      <w:r>
        <w:rPr>
          <w:rFonts w:hint="eastAsia" w:ascii="宋体" w:hAnsi="宋体" w:cs="宋体"/>
          <w:b/>
          <w:sz w:val="28"/>
          <w:szCs w:val="28"/>
        </w:rPr>
        <w:t>质疑函制作说明：</w:t>
      </w:r>
    </w:p>
    <w:p w14:paraId="17994075">
      <w:pPr>
        <w:widowControl/>
        <w:spacing w:line="460" w:lineRule="exact"/>
        <w:ind w:firstLine="560" w:firstLineChars="200"/>
        <w:jc w:val="left"/>
        <w:rPr>
          <w:rFonts w:hint="eastAsia" w:ascii="宋体" w:hAnsi="宋体" w:cs="宋体"/>
          <w:sz w:val="28"/>
          <w:szCs w:val="28"/>
        </w:rPr>
      </w:pPr>
      <w:r>
        <w:rPr>
          <w:rFonts w:hint="eastAsia" w:ascii="宋体" w:hAnsi="宋体" w:cs="宋体"/>
          <w:sz w:val="28"/>
          <w:szCs w:val="28"/>
        </w:rPr>
        <w:t>1.供应商提出质疑时，应提交质疑函和必要的证明材料。</w:t>
      </w:r>
    </w:p>
    <w:p w14:paraId="5161FC09">
      <w:pPr>
        <w:widowControl/>
        <w:spacing w:line="460" w:lineRule="exact"/>
        <w:ind w:firstLine="560" w:firstLineChars="200"/>
        <w:jc w:val="left"/>
        <w:rPr>
          <w:rFonts w:hint="eastAsia"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21475FC5">
      <w:pPr>
        <w:widowControl/>
        <w:spacing w:line="460" w:lineRule="exact"/>
        <w:ind w:firstLine="560" w:firstLineChars="200"/>
        <w:jc w:val="left"/>
        <w:rPr>
          <w:rFonts w:hint="eastAsia"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2B4CC3C6">
      <w:pPr>
        <w:widowControl/>
        <w:spacing w:line="460" w:lineRule="exact"/>
        <w:ind w:firstLine="560" w:firstLineChars="200"/>
        <w:jc w:val="left"/>
        <w:rPr>
          <w:rFonts w:hint="eastAsia" w:ascii="宋体" w:hAnsi="宋体" w:cs="宋体"/>
          <w:sz w:val="28"/>
          <w:szCs w:val="28"/>
        </w:rPr>
      </w:pPr>
      <w:r>
        <w:rPr>
          <w:rFonts w:hint="eastAsia" w:ascii="宋体" w:hAnsi="宋体" w:cs="宋体"/>
          <w:sz w:val="28"/>
          <w:szCs w:val="28"/>
        </w:rPr>
        <w:t>4.质疑函的质疑事项应具体、明确，并有必要的事实依据和法律依据。</w:t>
      </w:r>
    </w:p>
    <w:p w14:paraId="16EFF38E">
      <w:pPr>
        <w:widowControl/>
        <w:spacing w:line="460" w:lineRule="exact"/>
        <w:ind w:firstLine="560" w:firstLineChars="200"/>
        <w:jc w:val="left"/>
        <w:rPr>
          <w:rFonts w:hint="eastAsia" w:ascii="宋体" w:hAnsi="宋体" w:cs="宋体"/>
          <w:sz w:val="28"/>
          <w:szCs w:val="28"/>
        </w:rPr>
      </w:pPr>
      <w:r>
        <w:rPr>
          <w:rFonts w:hint="eastAsia" w:ascii="宋体" w:hAnsi="宋体" w:cs="宋体"/>
          <w:sz w:val="28"/>
          <w:szCs w:val="28"/>
        </w:rPr>
        <w:t>5.质疑函的质疑请求应与质疑事项相关。</w:t>
      </w:r>
    </w:p>
    <w:p w14:paraId="6E91D45F">
      <w:pPr>
        <w:widowControl/>
        <w:spacing w:line="460" w:lineRule="exact"/>
        <w:ind w:firstLine="560" w:firstLineChars="200"/>
        <w:jc w:val="left"/>
        <w:rPr>
          <w:rFonts w:hint="eastAsia"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22632EEC">
      <w:pPr>
        <w:snapToGrid w:val="0"/>
        <w:spacing w:line="300" w:lineRule="auto"/>
        <w:outlineLvl w:val="0"/>
        <w:rPr>
          <w:rFonts w:hint="eastAsia" w:ascii="宋体" w:hAnsi="宋体" w:cs="宋体"/>
          <w:sz w:val="28"/>
          <w:szCs w:val="28"/>
        </w:rPr>
      </w:pPr>
    </w:p>
    <w:p w14:paraId="63E935F8">
      <w:pPr>
        <w:snapToGrid w:val="0"/>
        <w:spacing w:line="500" w:lineRule="exact"/>
        <w:ind w:firstLine="560" w:firstLineChars="200"/>
        <w:contextualSpacing/>
        <w:outlineLvl w:val="0"/>
        <w:rPr>
          <w:rFonts w:hint="eastAsia" w:ascii="宋体" w:hAnsi="宋体" w:cs="宋体"/>
          <w:b/>
          <w:sz w:val="28"/>
          <w:szCs w:val="28"/>
        </w:rPr>
      </w:pPr>
    </w:p>
    <w:p w14:paraId="77315AA7">
      <w:pPr>
        <w:pStyle w:val="65"/>
      </w:pPr>
    </w:p>
    <w:p w14:paraId="0554A063">
      <w:pPr>
        <w:tabs>
          <w:tab w:val="left" w:pos="5040"/>
        </w:tabs>
        <w:spacing w:line="420" w:lineRule="atLeast"/>
        <w:rPr>
          <w:rFonts w:ascii="宋体" w:hAnsi="宋体"/>
          <w:b/>
          <w:color w:val="000000" w:themeColor="text1"/>
          <w:kern w:val="0"/>
          <w:sz w:val="32"/>
          <w:szCs w:val="32"/>
        </w:rPr>
      </w:pPr>
    </w:p>
    <w:sectPr>
      <w:headerReference r:id="rId3" w:type="default"/>
      <w:pgSz w:w="11906" w:h="16838"/>
      <w:pgMar w:top="1440" w:right="1797" w:bottom="1440" w:left="1797" w:header="0" w:footer="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2CB18">
    <w:pPr>
      <w:pStyle w:val="34"/>
      <w:pBdr>
        <w:bottom w:val="none" w:color="auto" w:sz="0" w:space="0"/>
      </w:pBdr>
      <w:tabs>
        <w:tab w:val="left" w:pos="939"/>
      </w:tabs>
      <w:jc w:val="left"/>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3"/>
      <w:numFmt w:val="chineseCounting"/>
      <w:pStyle w:val="16"/>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ED0C28"/>
    <w:rsid w:val="000061A8"/>
    <w:rsid w:val="00011796"/>
    <w:rsid w:val="00014068"/>
    <w:rsid w:val="00017BD5"/>
    <w:rsid w:val="00022C2E"/>
    <w:rsid w:val="00024ACB"/>
    <w:rsid w:val="00032D15"/>
    <w:rsid w:val="00033010"/>
    <w:rsid w:val="0003584B"/>
    <w:rsid w:val="00045FCF"/>
    <w:rsid w:val="00057219"/>
    <w:rsid w:val="00063A8A"/>
    <w:rsid w:val="00064E64"/>
    <w:rsid w:val="00077D86"/>
    <w:rsid w:val="00082297"/>
    <w:rsid w:val="00086881"/>
    <w:rsid w:val="000A44D8"/>
    <w:rsid w:val="000B0918"/>
    <w:rsid w:val="000B1CC6"/>
    <w:rsid w:val="000C2F79"/>
    <w:rsid w:val="000D17F6"/>
    <w:rsid w:val="000D4052"/>
    <w:rsid w:val="000E0565"/>
    <w:rsid w:val="000E10A1"/>
    <w:rsid w:val="000E7A5A"/>
    <w:rsid w:val="000E7AF1"/>
    <w:rsid w:val="00103671"/>
    <w:rsid w:val="00103911"/>
    <w:rsid w:val="0010685A"/>
    <w:rsid w:val="00110404"/>
    <w:rsid w:val="00113224"/>
    <w:rsid w:val="00123633"/>
    <w:rsid w:val="0013073B"/>
    <w:rsid w:val="00131FC3"/>
    <w:rsid w:val="0013376F"/>
    <w:rsid w:val="001369BB"/>
    <w:rsid w:val="001410E0"/>
    <w:rsid w:val="00142D92"/>
    <w:rsid w:val="00143494"/>
    <w:rsid w:val="00146630"/>
    <w:rsid w:val="001553E8"/>
    <w:rsid w:val="00161A92"/>
    <w:rsid w:val="00162D6B"/>
    <w:rsid w:val="001646A2"/>
    <w:rsid w:val="00171D00"/>
    <w:rsid w:val="00177F7A"/>
    <w:rsid w:val="001810BF"/>
    <w:rsid w:val="00181218"/>
    <w:rsid w:val="00181A79"/>
    <w:rsid w:val="00190926"/>
    <w:rsid w:val="00190940"/>
    <w:rsid w:val="00191F1F"/>
    <w:rsid w:val="001936CB"/>
    <w:rsid w:val="001A179E"/>
    <w:rsid w:val="001B1703"/>
    <w:rsid w:val="001C3051"/>
    <w:rsid w:val="001C4BBC"/>
    <w:rsid w:val="001C662C"/>
    <w:rsid w:val="002014F3"/>
    <w:rsid w:val="00210EDD"/>
    <w:rsid w:val="00213085"/>
    <w:rsid w:val="00216970"/>
    <w:rsid w:val="00222644"/>
    <w:rsid w:val="002229C4"/>
    <w:rsid w:val="002311E8"/>
    <w:rsid w:val="00231D22"/>
    <w:rsid w:val="00234F3B"/>
    <w:rsid w:val="00236237"/>
    <w:rsid w:val="00240847"/>
    <w:rsid w:val="00244210"/>
    <w:rsid w:val="0024432D"/>
    <w:rsid w:val="0024612C"/>
    <w:rsid w:val="0025362C"/>
    <w:rsid w:val="002565BA"/>
    <w:rsid w:val="0026420B"/>
    <w:rsid w:val="0026527A"/>
    <w:rsid w:val="002808F1"/>
    <w:rsid w:val="00281782"/>
    <w:rsid w:val="0029008F"/>
    <w:rsid w:val="00291052"/>
    <w:rsid w:val="0029166A"/>
    <w:rsid w:val="002A52C5"/>
    <w:rsid w:val="002E26F9"/>
    <w:rsid w:val="002F1EF9"/>
    <w:rsid w:val="002F6C6B"/>
    <w:rsid w:val="0030456E"/>
    <w:rsid w:val="00306A14"/>
    <w:rsid w:val="00317E95"/>
    <w:rsid w:val="003237ED"/>
    <w:rsid w:val="0032388D"/>
    <w:rsid w:val="00325EDF"/>
    <w:rsid w:val="00336479"/>
    <w:rsid w:val="00342D9D"/>
    <w:rsid w:val="00354671"/>
    <w:rsid w:val="00354C30"/>
    <w:rsid w:val="00360366"/>
    <w:rsid w:val="00364D3A"/>
    <w:rsid w:val="00367AF6"/>
    <w:rsid w:val="00374AFC"/>
    <w:rsid w:val="003823FD"/>
    <w:rsid w:val="00393C36"/>
    <w:rsid w:val="003A2E26"/>
    <w:rsid w:val="003A56C7"/>
    <w:rsid w:val="003B2250"/>
    <w:rsid w:val="003B3AD0"/>
    <w:rsid w:val="003C372F"/>
    <w:rsid w:val="003C4C5A"/>
    <w:rsid w:val="003C4F04"/>
    <w:rsid w:val="003C712E"/>
    <w:rsid w:val="003D05A1"/>
    <w:rsid w:val="003E1B13"/>
    <w:rsid w:val="003E3D68"/>
    <w:rsid w:val="003F41E1"/>
    <w:rsid w:val="004023C7"/>
    <w:rsid w:val="0040279B"/>
    <w:rsid w:val="004142E0"/>
    <w:rsid w:val="0041587C"/>
    <w:rsid w:val="00417700"/>
    <w:rsid w:val="00417ECB"/>
    <w:rsid w:val="00420906"/>
    <w:rsid w:val="0042776C"/>
    <w:rsid w:val="00436604"/>
    <w:rsid w:val="00436BE6"/>
    <w:rsid w:val="00451451"/>
    <w:rsid w:val="00461959"/>
    <w:rsid w:val="00461E0A"/>
    <w:rsid w:val="0047011F"/>
    <w:rsid w:val="00482E74"/>
    <w:rsid w:val="0048303C"/>
    <w:rsid w:val="00486A89"/>
    <w:rsid w:val="00486C58"/>
    <w:rsid w:val="004937D4"/>
    <w:rsid w:val="004A57AF"/>
    <w:rsid w:val="004B6DEA"/>
    <w:rsid w:val="004B7193"/>
    <w:rsid w:val="004E7746"/>
    <w:rsid w:val="004E7B4B"/>
    <w:rsid w:val="004F4611"/>
    <w:rsid w:val="004F495D"/>
    <w:rsid w:val="0050374D"/>
    <w:rsid w:val="00513932"/>
    <w:rsid w:val="005231CB"/>
    <w:rsid w:val="00523C7E"/>
    <w:rsid w:val="00523F06"/>
    <w:rsid w:val="00526FF0"/>
    <w:rsid w:val="00533693"/>
    <w:rsid w:val="00534278"/>
    <w:rsid w:val="0053687C"/>
    <w:rsid w:val="00540279"/>
    <w:rsid w:val="00540342"/>
    <w:rsid w:val="005468AD"/>
    <w:rsid w:val="00550C1C"/>
    <w:rsid w:val="00555337"/>
    <w:rsid w:val="005603CC"/>
    <w:rsid w:val="00562F3E"/>
    <w:rsid w:val="00574A53"/>
    <w:rsid w:val="00584E19"/>
    <w:rsid w:val="00593DCD"/>
    <w:rsid w:val="005A0D1F"/>
    <w:rsid w:val="005A2904"/>
    <w:rsid w:val="005A3A71"/>
    <w:rsid w:val="005B1A2F"/>
    <w:rsid w:val="005D5BF3"/>
    <w:rsid w:val="005E47A3"/>
    <w:rsid w:val="005F0CE0"/>
    <w:rsid w:val="006040C8"/>
    <w:rsid w:val="00604335"/>
    <w:rsid w:val="00612E23"/>
    <w:rsid w:val="006139CC"/>
    <w:rsid w:val="00622AFD"/>
    <w:rsid w:val="006256B7"/>
    <w:rsid w:val="00627E3A"/>
    <w:rsid w:val="00631868"/>
    <w:rsid w:val="00635B40"/>
    <w:rsid w:val="00644F4A"/>
    <w:rsid w:val="006459CF"/>
    <w:rsid w:val="00651A78"/>
    <w:rsid w:val="0065216F"/>
    <w:rsid w:val="00657C2B"/>
    <w:rsid w:val="00660580"/>
    <w:rsid w:val="0066515D"/>
    <w:rsid w:val="00666506"/>
    <w:rsid w:val="006676A7"/>
    <w:rsid w:val="0067060B"/>
    <w:rsid w:val="0067694B"/>
    <w:rsid w:val="0068198D"/>
    <w:rsid w:val="00684D78"/>
    <w:rsid w:val="00687B22"/>
    <w:rsid w:val="00697520"/>
    <w:rsid w:val="006A3198"/>
    <w:rsid w:val="006A61AA"/>
    <w:rsid w:val="006A6EFC"/>
    <w:rsid w:val="006B2B28"/>
    <w:rsid w:val="006B3014"/>
    <w:rsid w:val="006B46A6"/>
    <w:rsid w:val="006C6692"/>
    <w:rsid w:val="006D61D2"/>
    <w:rsid w:val="006E6CF7"/>
    <w:rsid w:val="0070003D"/>
    <w:rsid w:val="007059DB"/>
    <w:rsid w:val="00720DAC"/>
    <w:rsid w:val="0072120A"/>
    <w:rsid w:val="00731190"/>
    <w:rsid w:val="007465C6"/>
    <w:rsid w:val="00746AFB"/>
    <w:rsid w:val="007507B2"/>
    <w:rsid w:val="0075259D"/>
    <w:rsid w:val="00754788"/>
    <w:rsid w:val="00754809"/>
    <w:rsid w:val="007625A0"/>
    <w:rsid w:val="00763193"/>
    <w:rsid w:val="007650A7"/>
    <w:rsid w:val="0076718B"/>
    <w:rsid w:val="00790C24"/>
    <w:rsid w:val="007A36AB"/>
    <w:rsid w:val="007C004B"/>
    <w:rsid w:val="007C084C"/>
    <w:rsid w:val="007C2BAF"/>
    <w:rsid w:val="007D0153"/>
    <w:rsid w:val="007D4BCE"/>
    <w:rsid w:val="007D4DCA"/>
    <w:rsid w:val="00805A19"/>
    <w:rsid w:val="00812AD0"/>
    <w:rsid w:val="00816857"/>
    <w:rsid w:val="00820028"/>
    <w:rsid w:val="00822660"/>
    <w:rsid w:val="00831E59"/>
    <w:rsid w:val="00832C08"/>
    <w:rsid w:val="00835B21"/>
    <w:rsid w:val="00836F62"/>
    <w:rsid w:val="008416F1"/>
    <w:rsid w:val="008417C2"/>
    <w:rsid w:val="00843047"/>
    <w:rsid w:val="00843EC0"/>
    <w:rsid w:val="00846FEB"/>
    <w:rsid w:val="00861BE9"/>
    <w:rsid w:val="0086420B"/>
    <w:rsid w:val="00870195"/>
    <w:rsid w:val="0088029F"/>
    <w:rsid w:val="0088035F"/>
    <w:rsid w:val="0088118D"/>
    <w:rsid w:val="0088245B"/>
    <w:rsid w:val="00892CE7"/>
    <w:rsid w:val="008A3AC4"/>
    <w:rsid w:val="008B262E"/>
    <w:rsid w:val="008C50D5"/>
    <w:rsid w:val="008C546A"/>
    <w:rsid w:val="008D2B70"/>
    <w:rsid w:val="008D3DC9"/>
    <w:rsid w:val="008E5FB4"/>
    <w:rsid w:val="008E75F7"/>
    <w:rsid w:val="00900849"/>
    <w:rsid w:val="00905381"/>
    <w:rsid w:val="009118FF"/>
    <w:rsid w:val="0093021E"/>
    <w:rsid w:val="00950DB3"/>
    <w:rsid w:val="00950EE5"/>
    <w:rsid w:val="009511E6"/>
    <w:rsid w:val="00955846"/>
    <w:rsid w:val="00974F2A"/>
    <w:rsid w:val="00974F59"/>
    <w:rsid w:val="0098353A"/>
    <w:rsid w:val="00984C67"/>
    <w:rsid w:val="00985314"/>
    <w:rsid w:val="00985FC7"/>
    <w:rsid w:val="0099002E"/>
    <w:rsid w:val="00996AD9"/>
    <w:rsid w:val="009A2F62"/>
    <w:rsid w:val="009B02AF"/>
    <w:rsid w:val="009B0A45"/>
    <w:rsid w:val="009B2EB3"/>
    <w:rsid w:val="009B4E84"/>
    <w:rsid w:val="009B585B"/>
    <w:rsid w:val="009B628C"/>
    <w:rsid w:val="009C3801"/>
    <w:rsid w:val="009C7A19"/>
    <w:rsid w:val="009D7DC3"/>
    <w:rsid w:val="009E5522"/>
    <w:rsid w:val="009E5945"/>
    <w:rsid w:val="009E66D5"/>
    <w:rsid w:val="009E6BD1"/>
    <w:rsid w:val="009F4620"/>
    <w:rsid w:val="00A027F7"/>
    <w:rsid w:val="00A06254"/>
    <w:rsid w:val="00A2498C"/>
    <w:rsid w:val="00A32A8E"/>
    <w:rsid w:val="00A34309"/>
    <w:rsid w:val="00A4182E"/>
    <w:rsid w:val="00A45AFA"/>
    <w:rsid w:val="00A46F90"/>
    <w:rsid w:val="00A47826"/>
    <w:rsid w:val="00A64DC3"/>
    <w:rsid w:val="00A672DA"/>
    <w:rsid w:val="00A72BCA"/>
    <w:rsid w:val="00A85017"/>
    <w:rsid w:val="00A85626"/>
    <w:rsid w:val="00A856AC"/>
    <w:rsid w:val="00A866F4"/>
    <w:rsid w:val="00A91513"/>
    <w:rsid w:val="00A93AB7"/>
    <w:rsid w:val="00AA3BEE"/>
    <w:rsid w:val="00AB2C15"/>
    <w:rsid w:val="00AB7B40"/>
    <w:rsid w:val="00AC32F3"/>
    <w:rsid w:val="00AC6F12"/>
    <w:rsid w:val="00AD1597"/>
    <w:rsid w:val="00AD5A92"/>
    <w:rsid w:val="00AE4A33"/>
    <w:rsid w:val="00AE6E8C"/>
    <w:rsid w:val="00B0336D"/>
    <w:rsid w:val="00B07191"/>
    <w:rsid w:val="00B0772F"/>
    <w:rsid w:val="00B15F33"/>
    <w:rsid w:val="00B16184"/>
    <w:rsid w:val="00B16461"/>
    <w:rsid w:val="00B17C0D"/>
    <w:rsid w:val="00B20E26"/>
    <w:rsid w:val="00B24A3A"/>
    <w:rsid w:val="00B2678E"/>
    <w:rsid w:val="00B36C3B"/>
    <w:rsid w:val="00B436FF"/>
    <w:rsid w:val="00B4412C"/>
    <w:rsid w:val="00B44505"/>
    <w:rsid w:val="00B45145"/>
    <w:rsid w:val="00B452E3"/>
    <w:rsid w:val="00B47952"/>
    <w:rsid w:val="00B66A8B"/>
    <w:rsid w:val="00B73637"/>
    <w:rsid w:val="00B835BC"/>
    <w:rsid w:val="00B86813"/>
    <w:rsid w:val="00B91E4A"/>
    <w:rsid w:val="00B93B83"/>
    <w:rsid w:val="00BA0524"/>
    <w:rsid w:val="00BC525A"/>
    <w:rsid w:val="00BC661C"/>
    <w:rsid w:val="00BD34DE"/>
    <w:rsid w:val="00BD5867"/>
    <w:rsid w:val="00BF308C"/>
    <w:rsid w:val="00BF711A"/>
    <w:rsid w:val="00BF71BC"/>
    <w:rsid w:val="00C070F5"/>
    <w:rsid w:val="00C136D4"/>
    <w:rsid w:val="00C14D9E"/>
    <w:rsid w:val="00C252DB"/>
    <w:rsid w:val="00C307F3"/>
    <w:rsid w:val="00C43BCC"/>
    <w:rsid w:val="00C44118"/>
    <w:rsid w:val="00C44EBB"/>
    <w:rsid w:val="00C470EA"/>
    <w:rsid w:val="00C534B8"/>
    <w:rsid w:val="00C546E5"/>
    <w:rsid w:val="00C6599F"/>
    <w:rsid w:val="00C71943"/>
    <w:rsid w:val="00C82859"/>
    <w:rsid w:val="00C83BC7"/>
    <w:rsid w:val="00C83F5E"/>
    <w:rsid w:val="00C921FF"/>
    <w:rsid w:val="00C929A2"/>
    <w:rsid w:val="00CA2D30"/>
    <w:rsid w:val="00CA398C"/>
    <w:rsid w:val="00CB735D"/>
    <w:rsid w:val="00CC15DB"/>
    <w:rsid w:val="00CD2C31"/>
    <w:rsid w:val="00CD2D2A"/>
    <w:rsid w:val="00CD3085"/>
    <w:rsid w:val="00CD68C1"/>
    <w:rsid w:val="00CF3B10"/>
    <w:rsid w:val="00D108B2"/>
    <w:rsid w:val="00D134AB"/>
    <w:rsid w:val="00D17736"/>
    <w:rsid w:val="00D232FF"/>
    <w:rsid w:val="00D342EA"/>
    <w:rsid w:val="00D4650B"/>
    <w:rsid w:val="00D554DA"/>
    <w:rsid w:val="00D55AC7"/>
    <w:rsid w:val="00D560E0"/>
    <w:rsid w:val="00D57C59"/>
    <w:rsid w:val="00D6305B"/>
    <w:rsid w:val="00D63E9C"/>
    <w:rsid w:val="00D63F34"/>
    <w:rsid w:val="00D72D17"/>
    <w:rsid w:val="00D74313"/>
    <w:rsid w:val="00D85053"/>
    <w:rsid w:val="00D87567"/>
    <w:rsid w:val="00D9034E"/>
    <w:rsid w:val="00DA30F7"/>
    <w:rsid w:val="00DA33AC"/>
    <w:rsid w:val="00DA3F6B"/>
    <w:rsid w:val="00DC2D25"/>
    <w:rsid w:val="00DC5E60"/>
    <w:rsid w:val="00DD210C"/>
    <w:rsid w:val="00DF2605"/>
    <w:rsid w:val="00DF6462"/>
    <w:rsid w:val="00E07CFC"/>
    <w:rsid w:val="00E11641"/>
    <w:rsid w:val="00E1367D"/>
    <w:rsid w:val="00E15B96"/>
    <w:rsid w:val="00E217CF"/>
    <w:rsid w:val="00E2696C"/>
    <w:rsid w:val="00E33A20"/>
    <w:rsid w:val="00E34EA3"/>
    <w:rsid w:val="00E421D6"/>
    <w:rsid w:val="00E528EC"/>
    <w:rsid w:val="00E55797"/>
    <w:rsid w:val="00E644D6"/>
    <w:rsid w:val="00E651E4"/>
    <w:rsid w:val="00E678AE"/>
    <w:rsid w:val="00E81325"/>
    <w:rsid w:val="00E813EC"/>
    <w:rsid w:val="00E9543D"/>
    <w:rsid w:val="00EA5D14"/>
    <w:rsid w:val="00EC7E0E"/>
    <w:rsid w:val="00ED0C28"/>
    <w:rsid w:val="00ED430C"/>
    <w:rsid w:val="00ED7B6A"/>
    <w:rsid w:val="00EE0CF6"/>
    <w:rsid w:val="00EE1219"/>
    <w:rsid w:val="00EE3907"/>
    <w:rsid w:val="00EF5668"/>
    <w:rsid w:val="00F02869"/>
    <w:rsid w:val="00F04FEF"/>
    <w:rsid w:val="00F11963"/>
    <w:rsid w:val="00F16C7E"/>
    <w:rsid w:val="00F23CC3"/>
    <w:rsid w:val="00F25D8B"/>
    <w:rsid w:val="00F27B44"/>
    <w:rsid w:val="00F304F3"/>
    <w:rsid w:val="00F33E76"/>
    <w:rsid w:val="00F34B8C"/>
    <w:rsid w:val="00F43B02"/>
    <w:rsid w:val="00F4789E"/>
    <w:rsid w:val="00F54978"/>
    <w:rsid w:val="00F60462"/>
    <w:rsid w:val="00F62BD1"/>
    <w:rsid w:val="00F63A51"/>
    <w:rsid w:val="00F71CA5"/>
    <w:rsid w:val="00F826C2"/>
    <w:rsid w:val="00F862E0"/>
    <w:rsid w:val="00F870D9"/>
    <w:rsid w:val="00F93B5F"/>
    <w:rsid w:val="00F93D5B"/>
    <w:rsid w:val="00FA3ABF"/>
    <w:rsid w:val="00FA6860"/>
    <w:rsid w:val="00FB02DB"/>
    <w:rsid w:val="00FB4198"/>
    <w:rsid w:val="00FB595F"/>
    <w:rsid w:val="00FD2526"/>
    <w:rsid w:val="00FD3022"/>
    <w:rsid w:val="00FD4985"/>
    <w:rsid w:val="00FE05F9"/>
    <w:rsid w:val="00FE2F24"/>
    <w:rsid w:val="00FF2732"/>
    <w:rsid w:val="00FF58AC"/>
    <w:rsid w:val="0116273D"/>
    <w:rsid w:val="0227136C"/>
    <w:rsid w:val="026805B7"/>
    <w:rsid w:val="029A114B"/>
    <w:rsid w:val="02D208E5"/>
    <w:rsid w:val="033169AF"/>
    <w:rsid w:val="0374238F"/>
    <w:rsid w:val="063F46FD"/>
    <w:rsid w:val="067C4C8C"/>
    <w:rsid w:val="07714765"/>
    <w:rsid w:val="07DA21E5"/>
    <w:rsid w:val="098608AA"/>
    <w:rsid w:val="09D51FDC"/>
    <w:rsid w:val="0A9F5C99"/>
    <w:rsid w:val="0B3E3044"/>
    <w:rsid w:val="0B88768E"/>
    <w:rsid w:val="0BC31671"/>
    <w:rsid w:val="0C88619E"/>
    <w:rsid w:val="0CC70F82"/>
    <w:rsid w:val="0DE5565C"/>
    <w:rsid w:val="0DF015DD"/>
    <w:rsid w:val="101237E4"/>
    <w:rsid w:val="11494E5B"/>
    <w:rsid w:val="11554924"/>
    <w:rsid w:val="115A63CB"/>
    <w:rsid w:val="11753C59"/>
    <w:rsid w:val="11E16D70"/>
    <w:rsid w:val="11F96B22"/>
    <w:rsid w:val="12C564B1"/>
    <w:rsid w:val="12DF0408"/>
    <w:rsid w:val="130A061A"/>
    <w:rsid w:val="13143247"/>
    <w:rsid w:val="147712EC"/>
    <w:rsid w:val="14820A02"/>
    <w:rsid w:val="154F1265"/>
    <w:rsid w:val="15E90228"/>
    <w:rsid w:val="18BB5E6A"/>
    <w:rsid w:val="192D0BBE"/>
    <w:rsid w:val="19A8687F"/>
    <w:rsid w:val="1BB375B7"/>
    <w:rsid w:val="1C072E6F"/>
    <w:rsid w:val="1D3B4A1E"/>
    <w:rsid w:val="1DE507D7"/>
    <w:rsid w:val="1E433BE7"/>
    <w:rsid w:val="1E972EAB"/>
    <w:rsid w:val="1F4E188E"/>
    <w:rsid w:val="20E50896"/>
    <w:rsid w:val="210F03FE"/>
    <w:rsid w:val="22FC7CDE"/>
    <w:rsid w:val="23192CDC"/>
    <w:rsid w:val="24727DCD"/>
    <w:rsid w:val="25A842D9"/>
    <w:rsid w:val="25F125E0"/>
    <w:rsid w:val="281F7133"/>
    <w:rsid w:val="28AF7842"/>
    <w:rsid w:val="28FF3A2F"/>
    <w:rsid w:val="29C26B70"/>
    <w:rsid w:val="2A4E3694"/>
    <w:rsid w:val="2B412C11"/>
    <w:rsid w:val="2B4F321F"/>
    <w:rsid w:val="2B8F544A"/>
    <w:rsid w:val="2CDD07F6"/>
    <w:rsid w:val="2EAE2349"/>
    <w:rsid w:val="2EF04710"/>
    <w:rsid w:val="30460409"/>
    <w:rsid w:val="305A67F4"/>
    <w:rsid w:val="305E1101"/>
    <w:rsid w:val="30864C09"/>
    <w:rsid w:val="31BF5299"/>
    <w:rsid w:val="31D231AA"/>
    <w:rsid w:val="32566DEA"/>
    <w:rsid w:val="33154745"/>
    <w:rsid w:val="33320889"/>
    <w:rsid w:val="33A84B15"/>
    <w:rsid w:val="34387DC9"/>
    <w:rsid w:val="34676C1D"/>
    <w:rsid w:val="350B4052"/>
    <w:rsid w:val="359E1C23"/>
    <w:rsid w:val="35AC0C02"/>
    <w:rsid w:val="35D5102A"/>
    <w:rsid w:val="361374D2"/>
    <w:rsid w:val="364516AF"/>
    <w:rsid w:val="3767132E"/>
    <w:rsid w:val="378823F0"/>
    <w:rsid w:val="38A345E3"/>
    <w:rsid w:val="38F03F09"/>
    <w:rsid w:val="39A60CBB"/>
    <w:rsid w:val="39DC07CC"/>
    <w:rsid w:val="3AEE31A3"/>
    <w:rsid w:val="3BAA122E"/>
    <w:rsid w:val="3BAA664E"/>
    <w:rsid w:val="3BEE697C"/>
    <w:rsid w:val="3E5325C6"/>
    <w:rsid w:val="3E77727D"/>
    <w:rsid w:val="3F7A38BB"/>
    <w:rsid w:val="3FE16591"/>
    <w:rsid w:val="428E4184"/>
    <w:rsid w:val="42D75FE0"/>
    <w:rsid w:val="43104D63"/>
    <w:rsid w:val="44730D66"/>
    <w:rsid w:val="46380A1F"/>
    <w:rsid w:val="46D4339A"/>
    <w:rsid w:val="46F41115"/>
    <w:rsid w:val="47330D35"/>
    <w:rsid w:val="474B6530"/>
    <w:rsid w:val="47553A12"/>
    <w:rsid w:val="47DC0766"/>
    <w:rsid w:val="486923B8"/>
    <w:rsid w:val="489E4E09"/>
    <w:rsid w:val="49212FF9"/>
    <w:rsid w:val="49871798"/>
    <w:rsid w:val="49A3744E"/>
    <w:rsid w:val="49DD5656"/>
    <w:rsid w:val="4A064990"/>
    <w:rsid w:val="4AF7620D"/>
    <w:rsid w:val="4B4439C2"/>
    <w:rsid w:val="4B4D57CE"/>
    <w:rsid w:val="4DD91081"/>
    <w:rsid w:val="4E085A0A"/>
    <w:rsid w:val="4E11379D"/>
    <w:rsid w:val="4E40026B"/>
    <w:rsid w:val="4E636855"/>
    <w:rsid w:val="4F3124AF"/>
    <w:rsid w:val="4FEE03A0"/>
    <w:rsid w:val="503C6F0D"/>
    <w:rsid w:val="521E46DE"/>
    <w:rsid w:val="52304CA0"/>
    <w:rsid w:val="52845D25"/>
    <w:rsid w:val="52DB6CEE"/>
    <w:rsid w:val="54DF6509"/>
    <w:rsid w:val="57421F8D"/>
    <w:rsid w:val="5746432B"/>
    <w:rsid w:val="577055F0"/>
    <w:rsid w:val="59586497"/>
    <w:rsid w:val="5B063B2B"/>
    <w:rsid w:val="5B581017"/>
    <w:rsid w:val="5B65089F"/>
    <w:rsid w:val="5B7008CE"/>
    <w:rsid w:val="5BC70325"/>
    <w:rsid w:val="5C1B42CB"/>
    <w:rsid w:val="5CE70052"/>
    <w:rsid w:val="5D264893"/>
    <w:rsid w:val="5EB31E59"/>
    <w:rsid w:val="5FC6414B"/>
    <w:rsid w:val="5FE52914"/>
    <w:rsid w:val="5FF268BC"/>
    <w:rsid w:val="61E72181"/>
    <w:rsid w:val="62195108"/>
    <w:rsid w:val="62A904DC"/>
    <w:rsid w:val="636A370F"/>
    <w:rsid w:val="65F2262A"/>
    <w:rsid w:val="66076484"/>
    <w:rsid w:val="666D518A"/>
    <w:rsid w:val="672545EF"/>
    <w:rsid w:val="67BE2C99"/>
    <w:rsid w:val="688A459D"/>
    <w:rsid w:val="68C42F08"/>
    <w:rsid w:val="694A4441"/>
    <w:rsid w:val="69913E1E"/>
    <w:rsid w:val="69F407CC"/>
    <w:rsid w:val="6B6C0DA2"/>
    <w:rsid w:val="6C3558D0"/>
    <w:rsid w:val="6D0B3EE8"/>
    <w:rsid w:val="6D4C1E49"/>
    <w:rsid w:val="6FDD4D55"/>
    <w:rsid w:val="701835D1"/>
    <w:rsid w:val="701B0AB6"/>
    <w:rsid w:val="709826C3"/>
    <w:rsid w:val="70DA42FD"/>
    <w:rsid w:val="711E32B9"/>
    <w:rsid w:val="72892962"/>
    <w:rsid w:val="7291002D"/>
    <w:rsid w:val="732A727E"/>
    <w:rsid w:val="742B4C2C"/>
    <w:rsid w:val="754E1BFF"/>
    <w:rsid w:val="75C37A55"/>
    <w:rsid w:val="75FE7C79"/>
    <w:rsid w:val="764510FA"/>
    <w:rsid w:val="767713C9"/>
    <w:rsid w:val="771E1E5C"/>
    <w:rsid w:val="78280044"/>
    <w:rsid w:val="78962C14"/>
    <w:rsid w:val="789C2C49"/>
    <w:rsid w:val="7907111C"/>
    <w:rsid w:val="792A3948"/>
    <w:rsid w:val="793B7903"/>
    <w:rsid w:val="7A995229"/>
    <w:rsid w:val="7C930A71"/>
    <w:rsid w:val="7CD75D15"/>
    <w:rsid w:val="7CE177E1"/>
    <w:rsid w:val="7D751CB9"/>
    <w:rsid w:val="7D90481F"/>
    <w:rsid w:val="7ED6300D"/>
    <w:rsid w:val="7EDB2C05"/>
    <w:rsid w:val="7F1C46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name="toa heading"/>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69"/>
    <w:qFormat/>
    <w:uiPriority w:val="9"/>
    <w:pPr>
      <w:keepNext/>
      <w:jc w:val="center"/>
      <w:outlineLvl w:val="0"/>
    </w:pPr>
    <w:rPr>
      <w:rFonts w:eastAsia="仿宋_GB2312"/>
      <w:sz w:val="28"/>
      <w:szCs w:val="28"/>
    </w:rPr>
  </w:style>
  <w:style w:type="paragraph" w:styleId="5">
    <w:name w:val="heading 2"/>
    <w:basedOn w:val="1"/>
    <w:next w:val="1"/>
    <w:link w:val="70"/>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71"/>
    <w:qFormat/>
    <w:uiPriority w:val="99"/>
    <w:pPr>
      <w:keepNext/>
      <w:keepLines/>
      <w:spacing w:before="260" w:after="260" w:line="416" w:lineRule="auto"/>
      <w:outlineLvl w:val="2"/>
    </w:pPr>
    <w:rPr>
      <w:b/>
      <w:bCs/>
      <w:sz w:val="32"/>
      <w:szCs w:val="32"/>
    </w:rPr>
  </w:style>
  <w:style w:type="paragraph" w:styleId="7">
    <w:name w:val="heading 4"/>
    <w:basedOn w:val="1"/>
    <w:next w:val="1"/>
    <w:link w:val="72"/>
    <w:qFormat/>
    <w:uiPriority w:val="99"/>
    <w:pPr>
      <w:keepNext/>
      <w:keepLines/>
      <w:adjustRightInd w:val="0"/>
      <w:spacing w:before="280" w:after="290" w:line="376" w:lineRule="atLeast"/>
      <w:textAlignment w:val="baseline"/>
      <w:outlineLvl w:val="3"/>
    </w:pPr>
    <w:rPr>
      <w:rFonts w:ascii="Arial" w:hAnsi="Arial" w:eastAsia="黑体" w:cs="Arial"/>
      <w:b/>
      <w:bCs/>
      <w:sz w:val="28"/>
      <w:szCs w:val="28"/>
    </w:rPr>
  </w:style>
  <w:style w:type="paragraph" w:styleId="8">
    <w:name w:val="heading 5"/>
    <w:basedOn w:val="1"/>
    <w:next w:val="1"/>
    <w:link w:val="73"/>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74"/>
    <w:qFormat/>
    <w:uiPriority w:val="99"/>
    <w:pPr>
      <w:keepNext/>
      <w:keepLines/>
      <w:adjustRightInd w:val="0"/>
      <w:spacing w:before="240" w:after="64" w:line="320" w:lineRule="atLeast"/>
      <w:textAlignment w:val="baseline"/>
      <w:outlineLvl w:val="5"/>
    </w:pPr>
    <w:rPr>
      <w:rFonts w:ascii="Arial" w:hAnsi="Arial" w:eastAsia="黑体" w:cs="Arial"/>
      <w:b/>
      <w:bCs/>
      <w:kern w:val="0"/>
      <w:sz w:val="24"/>
      <w:szCs w:val="24"/>
    </w:rPr>
  </w:style>
  <w:style w:type="paragraph" w:styleId="10">
    <w:name w:val="heading 7"/>
    <w:basedOn w:val="1"/>
    <w:next w:val="1"/>
    <w:link w:val="75"/>
    <w:qFormat/>
    <w:uiPriority w:val="99"/>
    <w:pPr>
      <w:keepNext/>
      <w:keepLines/>
      <w:spacing w:before="240" w:after="64" w:line="320" w:lineRule="auto"/>
      <w:outlineLvl w:val="6"/>
    </w:pPr>
    <w:rPr>
      <w:b/>
      <w:bCs/>
      <w:sz w:val="24"/>
      <w:szCs w:val="24"/>
    </w:rPr>
  </w:style>
  <w:style w:type="paragraph" w:styleId="11">
    <w:name w:val="heading 8"/>
    <w:basedOn w:val="1"/>
    <w:next w:val="1"/>
    <w:link w:val="76"/>
    <w:qFormat/>
    <w:uiPriority w:val="99"/>
    <w:pPr>
      <w:keepNext/>
      <w:keepLines/>
      <w:adjustRightInd w:val="0"/>
      <w:spacing w:before="240" w:after="64" w:line="320" w:lineRule="atLeast"/>
      <w:textAlignment w:val="baseline"/>
      <w:outlineLvl w:val="7"/>
    </w:pPr>
    <w:rPr>
      <w:rFonts w:ascii="Arial" w:hAnsi="Arial" w:eastAsia="黑体" w:cs="Arial"/>
      <w:kern w:val="0"/>
      <w:sz w:val="24"/>
      <w:szCs w:val="24"/>
    </w:rPr>
  </w:style>
  <w:style w:type="paragraph" w:styleId="12">
    <w:name w:val="heading 9"/>
    <w:basedOn w:val="1"/>
    <w:next w:val="1"/>
    <w:link w:val="77"/>
    <w:qFormat/>
    <w:uiPriority w:val="99"/>
    <w:pPr>
      <w:keepNext/>
      <w:keepLines/>
      <w:adjustRightInd w:val="0"/>
      <w:spacing w:before="240" w:after="64" w:line="320" w:lineRule="atLeast"/>
      <w:textAlignment w:val="baseline"/>
      <w:outlineLvl w:val="8"/>
    </w:pPr>
    <w:rPr>
      <w:rFonts w:ascii="Arial" w:hAnsi="Arial" w:eastAsia="黑体" w:cs="Arial"/>
      <w:kern w:val="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3"/>
    <w:qFormat/>
    <w:uiPriority w:val="99"/>
    <w:pPr>
      <w:spacing w:line="360" w:lineRule="auto"/>
      <w:ind w:firstLine="482"/>
    </w:pPr>
    <w:rPr>
      <w:b/>
      <w:bCs/>
      <w:kern w:val="0"/>
      <w:sz w:val="24"/>
      <w:szCs w:val="24"/>
    </w:rPr>
  </w:style>
  <w:style w:type="paragraph" w:styleId="3">
    <w:name w:val="Body Text"/>
    <w:basedOn w:val="1"/>
    <w:next w:val="1"/>
    <w:link w:val="80"/>
    <w:qFormat/>
    <w:uiPriority w:val="99"/>
    <w:pPr>
      <w:spacing w:after="120"/>
    </w:pPr>
    <w:rPr>
      <w:kern w:val="0"/>
      <w:sz w:val="20"/>
      <w:szCs w:val="20"/>
    </w:r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Normal Indent"/>
    <w:basedOn w:val="1"/>
    <w:next w:val="1"/>
    <w:link w:val="115"/>
    <w:qFormat/>
    <w:uiPriority w:val="0"/>
    <w:pPr>
      <w:ind w:firstLine="420" w:firstLineChars="200"/>
    </w:pPr>
    <w:rPr>
      <w:kern w:val="0"/>
      <w:sz w:val="24"/>
      <w:szCs w:val="24"/>
    </w:rPr>
  </w:style>
  <w:style w:type="paragraph" w:styleId="16">
    <w:name w:val="List Bullet"/>
    <w:basedOn w:val="1"/>
    <w:qFormat/>
    <w:uiPriority w:val="99"/>
    <w:pPr>
      <w:numPr>
        <w:ilvl w:val="0"/>
        <w:numId w:val="1"/>
      </w:numPr>
      <w:tabs>
        <w:tab w:val="left" w:pos="360"/>
      </w:tabs>
    </w:pPr>
  </w:style>
  <w:style w:type="paragraph" w:styleId="17">
    <w:name w:val="Document Map"/>
    <w:basedOn w:val="1"/>
    <w:link w:val="78"/>
    <w:semiHidden/>
    <w:qFormat/>
    <w:uiPriority w:val="99"/>
    <w:rPr>
      <w:rFonts w:ascii="宋体" w:cs="宋体"/>
      <w:kern w:val="0"/>
      <w:sz w:val="18"/>
      <w:szCs w:val="18"/>
    </w:rPr>
  </w:style>
  <w:style w:type="paragraph" w:styleId="18">
    <w:name w:val="toa heading"/>
    <w:basedOn w:val="1"/>
    <w:next w:val="1"/>
    <w:semiHidden/>
    <w:qFormat/>
    <w:uiPriority w:val="99"/>
    <w:pPr>
      <w:adjustRightInd w:val="0"/>
      <w:spacing w:before="200" w:line="360" w:lineRule="atLeast"/>
      <w:jc w:val="center"/>
    </w:pPr>
    <w:rPr>
      <w:rFonts w:ascii="Arial" w:hAnsi="Arial" w:eastAsia="黑体" w:cs="Arial"/>
      <w:kern w:val="0"/>
      <w:sz w:val="44"/>
      <w:szCs w:val="44"/>
    </w:rPr>
  </w:style>
  <w:style w:type="paragraph" w:styleId="19">
    <w:name w:val="annotation text"/>
    <w:basedOn w:val="1"/>
    <w:link w:val="79"/>
    <w:semiHidden/>
    <w:qFormat/>
    <w:uiPriority w:val="99"/>
    <w:pPr>
      <w:jc w:val="left"/>
    </w:pPr>
    <w:rPr>
      <w:kern w:val="0"/>
      <w:sz w:val="20"/>
      <w:szCs w:val="20"/>
    </w:rPr>
  </w:style>
  <w:style w:type="paragraph" w:styleId="20">
    <w:name w:val="Body Text Indent"/>
    <w:basedOn w:val="1"/>
    <w:next w:val="21"/>
    <w:link w:val="81"/>
    <w:qFormat/>
    <w:uiPriority w:val="99"/>
    <w:pPr>
      <w:spacing w:after="120"/>
      <w:ind w:left="420" w:leftChars="200"/>
    </w:pPr>
    <w:rPr>
      <w:kern w:val="0"/>
      <w:sz w:val="20"/>
      <w:szCs w:val="20"/>
    </w:rPr>
  </w:style>
  <w:style w:type="paragraph" w:styleId="21">
    <w:name w:val="envelope return"/>
    <w:basedOn w:val="1"/>
    <w:unhideWhenUsed/>
    <w:qFormat/>
    <w:locked/>
    <w:uiPriority w:val="99"/>
    <w:pPr>
      <w:snapToGrid w:val="0"/>
    </w:pPr>
    <w:rPr>
      <w:rFonts w:ascii="Arial" w:hAnsi="Arial"/>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spacing w:after="120"/>
      <w:ind w:left="420" w:leftChars="200"/>
    </w:pPr>
  </w:style>
  <w:style w:type="paragraph" w:styleId="24">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5">
    <w:name w:val="toc 5"/>
    <w:basedOn w:val="1"/>
    <w:next w:val="1"/>
    <w:semiHidden/>
    <w:qFormat/>
    <w:uiPriority w:val="99"/>
    <w:pPr>
      <w:ind w:left="840"/>
      <w:jc w:val="left"/>
    </w:pPr>
    <w:rPr>
      <w:sz w:val="18"/>
      <w:szCs w:val="18"/>
    </w:rPr>
  </w:style>
  <w:style w:type="paragraph" w:styleId="26">
    <w:name w:val="toc 3"/>
    <w:basedOn w:val="1"/>
    <w:next w:val="1"/>
    <w:semiHidden/>
    <w:qFormat/>
    <w:uiPriority w:val="99"/>
    <w:pPr>
      <w:widowControl/>
      <w:tabs>
        <w:tab w:val="left" w:pos="1050"/>
        <w:tab w:val="right" w:leader="dot" w:pos="9402"/>
      </w:tabs>
      <w:spacing w:after="100" w:line="520" w:lineRule="exact"/>
      <w:jc w:val="center"/>
      <w:outlineLvl w:val="0"/>
    </w:pPr>
    <w:rPr>
      <w:rFonts w:ascii="宋体" w:hAnsi="宋体" w:cs="宋体"/>
      <w:b/>
      <w:bCs/>
      <w:color w:val="FF0000"/>
      <w:w w:val="80"/>
      <w:kern w:val="0"/>
      <w:sz w:val="44"/>
      <w:szCs w:val="44"/>
    </w:rPr>
  </w:style>
  <w:style w:type="paragraph" w:styleId="27">
    <w:name w:val="Plain Text"/>
    <w:basedOn w:val="1"/>
    <w:link w:val="82"/>
    <w:qFormat/>
    <w:uiPriority w:val="0"/>
    <w:rPr>
      <w:rFonts w:ascii="宋体" w:hAnsi="Courier New" w:cs="宋体"/>
      <w:kern w:val="0"/>
      <w:sz w:val="20"/>
      <w:szCs w:val="20"/>
    </w:rPr>
  </w:style>
  <w:style w:type="paragraph" w:styleId="28">
    <w:name w:val="toc 8"/>
    <w:basedOn w:val="1"/>
    <w:next w:val="1"/>
    <w:semiHidden/>
    <w:qFormat/>
    <w:uiPriority w:val="99"/>
    <w:pPr>
      <w:ind w:left="1470"/>
      <w:jc w:val="left"/>
    </w:pPr>
    <w:rPr>
      <w:sz w:val="18"/>
      <w:szCs w:val="18"/>
    </w:rPr>
  </w:style>
  <w:style w:type="paragraph" w:styleId="29">
    <w:name w:val="Date"/>
    <w:basedOn w:val="1"/>
    <w:next w:val="1"/>
    <w:link w:val="83"/>
    <w:qFormat/>
    <w:uiPriority w:val="99"/>
    <w:pPr>
      <w:widowControl/>
      <w:ind w:left="100"/>
      <w:jc w:val="left"/>
    </w:pPr>
    <w:rPr>
      <w:rFonts w:ascii="宋体" w:hAnsi="宋体" w:cs="宋体"/>
      <w:kern w:val="0"/>
      <w:sz w:val="28"/>
      <w:szCs w:val="28"/>
    </w:rPr>
  </w:style>
  <w:style w:type="paragraph" w:styleId="30">
    <w:name w:val="Body Text Indent 2"/>
    <w:basedOn w:val="1"/>
    <w:link w:val="84"/>
    <w:qFormat/>
    <w:uiPriority w:val="99"/>
    <w:pPr>
      <w:spacing w:after="120" w:line="480" w:lineRule="auto"/>
      <w:ind w:left="420" w:leftChars="200"/>
    </w:pPr>
    <w:rPr>
      <w:rFonts w:ascii="Calibri" w:hAnsi="Calibri" w:cs="Calibri"/>
    </w:rPr>
  </w:style>
  <w:style w:type="paragraph" w:styleId="31">
    <w:name w:val="List Continue 5"/>
    <w:basedOn w:val="1"/>
    <w:qFormat/>
    <w:uiPriority w:val="99"/>
    <w:pPr>
      <w:spacing w:after="120"/>
      <w:ind w:left="2100" w:leftChars="1000"/>
    </w:pPr>
  </w:style>
  <w:style w:type="paragraph" w:styleId="32">
    <w:name w:val="Balloon Text"/>
    <w:basedOn w:val="1"/>
    <w:link w:val="85"/>
    <w:semiHidden/>
    <w:qFormat/>
    <w:uiPriority w:val="99"/>
    <w:rPr>
      <w:kern w:val="0"/>
      <w:sz w:val="18"/>
      <w:szCs w:val="18"/>
    </w:rPr>
  </w:style>
  <w:style w:type="paragraph" w:styleId="33">
    <w:name w:val="footer"/>
    <w:basedOn w:val="1"/>
    <w:link w:val="86"/>
    <w:qFormat/>
    <w:uiPriority w:val="0"/>
    <w:pPr>
      <w:tabs>
        <w:tab w:val="center" w:pos="4153"/>
        <w:tab w:val="right" w:pos="8306"/>
      </w:tabs>
      <w:snapToGrid w:val="0"/>
      <w:jc w:val="left"/>
    </w:pPr>
    <w:rPr>
      <w:sz w:val="18"/>
      <w:szCs w:val="18"/>
    </w:rPr>
  </w:style>
  <w:style w:type="paragraph" w:styleId="34">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semiHidden/>
    <w:qFormat/>
    <w:uiPriority w:val="99"/>
    <w:pPr>
      <w:widowControl/>
      <w:tabs>
        <w:tab w:val="right" w:leader="hyphen" w:pos="9736"/>
      </w:tabs>
      <w:spacing w:after="100" w:line="276" w:lineRule="auto"/>
      <w:jc w:val="center"/>
    </w:pPr>
    <w:rPr>
      <w:rFonts w:ascii="Calibri" w:hAnsi="Calibri" w:cs="Calibri"/>
      <w:kern w:val="0"/>
      <w:sz w:val="22"/>
      <w:szCs w:val="22"/>
    </w:rPr>
  </w:style>
  <w:style w:type="paragraph" w:styleId="36">
    <w:name w:val="List Continue 4"/>
    <w:basedOn w:val="1"/>
    <w:qFormat/>
    <w:uiPriority w:val="99"/>
    <w:pPr>
      <w:spacing w:after="120"/>
      <w:ind w:left="1680" w:leftChars="800"/>
    </w:pPr>
  </w:style>
  <w:style w:type="paragraph" w:styleId="37">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8">
    <w:name w:val="List"/>
    <w:basedOn w:val="1"/>
    <w:qFormat/>
    <w:uiPriority w:val="99"/>
    <w:pPr>
      <w:ind w:left="200" w:hanging="200" w:hangingChars="200"/>
    </w:pPr>
  </w:style>
  <w:style w:type="paragraph" w:styleId="39">
    <w:name w:val="footnote text"/>
    <w:basedOn w:val="1"/>
    <w:link w:val="88"/>
    <w:semiHidden/>
    <w:qFormat/>
    <w:uiPriority w:val="99"/>
    <w:pPr>
      <w:snapToGrid w:val="0"/>
      <w:jc w:val="left"/>
    </w:pPr>
    <w:rPr>
      <w:rFonts w:ascii="Calibri" w:hAnsi="Calibri" w:cs="Calibri"/>
      <w:kern w:val="0"/>
      <w:sz w:val="18"/>
      <w:szCs w:val="18"/>
    </w:rPr>
  </w:style>
  <w:style w:type="paragraph" w:styleId="40">
    <w:name w:val="toc 6"/>
    <w:basedOn w:val="1"/>
    <w:next w:val="1"/>
    <w:semiHidden/>
    <w:qFormat/>
    <w:uiPriority w:val="99"/>
    <w:pPr>
      <w:ind w:left="1050"/>
      <w:jc w:val="left"/>
    </w:pPr>
    <w:rPr>
      <w:sz w:val="18"/>
      <w:szCs w:val="18"/>
    </w:rPr>
  </w:style>
  <w:style w:type="paragraph" w:styleId="41">
    <w:name w:val="List 5"/>
    <w:basedOn w:val="1"/>
    <w:qFormat/>
    <w:uiPriority w:val="99"/>
    <w:pPr>
      <w:ind w:left="100" w:leftChars="800" w:hanging="200" w:hangingChars="200"/>
    </w:pPr>
  </w:style>
  <w:style w:type="paragraph" w:styleId="42">
    <w:name w:val="Body Text Indent 3"/>
    <w:basedOn w:val="1"/>
    <w:link w:val="89"/>
    <w:qFormat/>
    <w:uiPriority w:val="99"/>
    <w:pPr>
      <w:ind w:firstLine="435"/>
    </w:pPr>
    <w:rPr>
      <w:rFonts w:ascii="仿宋_GB2312" w:hAnsi="宋体" w:eastAsia="仿宋_GB2312" w:cs="仿宋_GB2312"/>
      <w:sz w:val="28"/>
      <w:szCs w:val="28"/>
    </w:rPr>
  </w:style>
  <w:style w:type="paragraph" w:styleId="43">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44">
    <w:name w:val="toc 9"/>
    <w:basedOn w:val="1"/>
    <w:next w:val="1"/>
    <w:semiHidden/>
    <w:qFormat/>
    <w:uiPriority w:val="99"/>
    <w:pPr>
      <w:ind w:left="1680"/>
      <w:jc w:val="left"/>
    </w:pPr>
    <w:rPr>
      <w:sz w:val="18"/>
      <w:szCs w:val="18"/>
    </w:rPr>
  </w:style>
  <w:style w:type="paragraph" w:styleId="45">
    <w:name w:val="Body Text 2"/>
    <w:basedOn w:val="1"/>
    <w:link w:val="90"/>
    <w:qFormat/>
    <w:uiPriority w:val="99"/>
    <w:rPr>
      <w:rFonts w:ascii="宋体" w:hAnsi="宋体" w:cs="宋体"/>
      <w:kern w:val="0"/>
      <w:sz w:val="24"/>
      <w:szCs w:val="24"/>
    </w:rPr>
  </w:style>
  <w:style w:type="paragraph" w:styleId="46">
    <w:name w:val="List 4"/>
    <w:basedOn w:val="1"/>
    <w:qFormat/>
    <w:uiPriority w:val="99"/>
    <w:pPr>
      <w:ind w:left="100" w:leftChars="600" w:hanging="200" w:hangingChars="200"/>
    </w:pPr>
  </w:style>
  <w:style w:type="paragraph" w:styleId="47">
    <w:name w:val="List Continue 2"/>
    <w:basedOn w:val="1"/>
    <w:qFormat/>
    <w:uiPriority w:val="99"/>
    <w:pPr>
      <w:spacing w:after="120"/>
      <w:ind w:left="840" w:leftChars="400"/>
    </w:pPr>
  </w:style>
  <w:style w:type="paragraph" w:styleId="48">
    <w:name w:val="HTML Preformatted"/>
    <w:basedOn w:val="1"/>
    <w:link w:val="91"/>
    <w:qFormat/>
    <w:uiPriority w:val="99"/>
    <w:rPr>
      <w:rFonts w:ascii="Courier New" w:hAnsi="Courier New" w:cs="Courier New"/>
      <w:kern w:val="0"/>
      <w:sz w:val="20"/>
      <w:szCs w:val="20"/>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0">
    <w:name w:val="List Continue 3"/>
    <w:basedOn w:val="1"/>
    <w:qFormat/>
    <w:uiPriority w:val="99"/>
    <w:pPr>
      <w:spacing w:after="120"/>
      <w:ind w:left="1260" w:leftChars="600"/>
    </w:pPr>
  </w:style>
  <w:style w:type="paragraph" w:styleId="51">
    <w:name w:val="annotation subject"/>
    <w:basedOn w:val="19"/>
    <w:next w:val="19"/>
    <w:link w:val="92"/>
    <w:semiHidden/>
    <w:qFormat/>
    <w:uiPriority w:val="99"/>
    <w:rPr>
      <w:b/>
      <w:bCs/>
    </w:rPr>
  </w:style>
  <w:style w:type="paragraph" w:styleId="52">
    <w:name w:val="Body Text First Indent 2"/>
    <w:basedOn w:val="20"/>
    <w:link w:val="94"/>
    <w:qFormat/>
    <w:uiPriority w:val="99"/>
    <w:pPr>
      <w:ind w:firstLine="420" w:firstLineChars="200"/>
    </w:pPr>
  </w:style>
  <w:style w:type="table" w:styleId="54">
    <w:name w:val="Table Grid"/>
    <w:basedOn w:val="5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basedOn w:val="55"/>
    <w:qFormat/>
    <w:uiPriority w:val="99"/>
    <w:rPr>
      <w:b/>
      <w:bCs/>
    </w:rPr>
  </w:style>
  <w:style w:type="character" w:styleId="57">
    <w:name w:val="page number"/>
    <w:basedOn w:val="55"/>
    <w:qFormat/>
    <w:uiPriority w:val="0"/>
  </w:style>
  <w:style w:type="character" w:styleId="58">
    <w:name w:val="FollowedHyperlink"/>
    <w:basedOn w:val="55"/>
    <w:semiHidden/>
    <w:qFormat/>
    <w:uiPriority w:val="99"/>
    <w:rPr>
      <w:color w:val="800080"/>
      <w:u w:val="single"/>
    </w:rPr>
  </w:style>
  <w:style w:type="character" w:styleId="59">
    <w:name w:val="Emphasis"/>
    <w:basedOn w:val="55"/>
    <w:qFormat/>
    <w:uiPriority w:val="99"/>
    <w:rPr>
      <w:color w:val="auto"/>
    </w:rPr>
  </w:style>
  <w:style w:type="character" w:styleId="60">
    <w:name w:val="Hyperlink"/>
    <w:basedOn w:val="55"/>
    <w:qFormat/>
    <w:uiPriority w:val="0"/>
    <w:rPr>
      <w:color w:val="auto"/>
      <w:u w:val="none"/>
    </w:rPr>
  </w:style>
  <w:style w:type="character" w:styleId="61">
    <w:name w:val="annotation reference"/>
    <w:basedOn w:val="55"/>
    <w:semiHidden/>
    <w:qFormat/>
    <w:uiPriority w:val="99"/>
    <w:rPr>
      <w:sz w:val="21"/>
      <w:szCs w:val="21"/>
    </w:rPr>
  </w:style>
  <w:style w:type="character" w:styleId="62">
    <w:name w:val="footnote reference"/>
    <w:basedOn w:val="55"/>
    <w:semiHidden/>
    <w:qFormat/>
    <w:uiPriority w:val="99"/>
    <w:rPr>
      <w:vertAlign w:val="superscript"/>
    </w:rPr>
  </w:style>
  <w:style w:type="paragraph" w:customStyle="1" w:styleId="63">
    <w:name w:val="一级条标题"/>
    <w:basedOn w:val="64"/>
    <w:next w:val="65"/>
    <w:qFormat/>
    <w:uiPriority w:val="0"/>
    <w:pPr>
      <w:spacing w:before="0" w:after="0"/>
      <w:ind w:left="907" w:hanging="907"/>
      <w:outlineLvl w:val="2"/>
    </w:pPr>
    <w:rPr>
      <w:rFonts w:hAnsi="宋体"/>
      <w:kern w:val="0"/>
      <w:sz w:val="20"/>
      <w:szCs w:val="20"/>
    </w:rPr>
  </w:style>
  <w:style w:type="paragraph" w:customStyle="1" w:styleId="64">
    <w:name w:val="章标题"/>
    <w:next w:val="1"/>
    <w:qFormat/>
    <w:uiPriority w:val="0"/>
    <w:pPr>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65">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66">
    <w:name w:val="style4"/>
    <w:basedOn w:val="1"/>
    <w:next w:val="67"/>
    <w:qFormat/>
    <w:uiPriority w:val="99"/>
    <w:pPr>
      <w:widowControl/>
      <w:spacing w:before="280" w:after="280"/>
    </w:pPr>
    <w:rPr>
      <w:rFonts w:ascii="宋体"/>
      <w:sz w:val="18"/>
    </w:rPr>
  </w:style>
  <w:style w:type="paragraph" w:customStyle="1" w:styleId="67">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1"/>
    <w:basedOn w:val="1"/>
    <w:next w:val="27"/>
    <w:qFormat/>
    <w:uiPriority w:val="99"/>
    <w:rPr>
      <w:rFonts w:ascii="宋体" w:hAnsi="Courier New" w:cs="宋体"/>
    </w:rPr>
  </w:style>
  <w:style w:type="character" w:customStyle="1" w:styleId="69">
    <w:name w:val="标题 1 Char"/>
    <w:basedOn w:val="55"/>
    <w:link w:val="4"/>
    <w:qFormat/>
    <w:locked/>
    <w:uiPriority w:val="9"/>
    <w:rPr>
      <w:rFonts w:ascii="Times New Roman" w:hAnsi="Times New Roman" w:eastAsia="仿宋_GB2312" w:cs="Times New Roman"/>
      <w:sz w:val="24"/>
      <w:szCs w:val="24"/>
    </w:rPr>
  </w:style>
  <w:style w:type="character" w:customStyle="1" w:styleId="70">
    <w:name w:val="标题 2 Char"/>
    <w:basedOn w:val="55"/>
    <w:link w:val="5"/>
    <w:qFormat/>
    <w:locked/>
    <w:uiPriority w:val="99"/>
    <w:rPr>
      <w:rFonts w:ascii="Cambria" w:hAnsi="Cambria" w:eastAsia="宋体" w:cs="Cambria"/>
      <w:b/>
      <w:bCs/>
      <w:sz w:val="32"/>
      <w:szCs w:val="32"/>
    </w:rPr>
  </w:style>
  <w:style w:type="character" w:customStyle="1" w:styleId="71">
    <w:name w:val="标题 3 Char"/>
    <w:basedOn w:val="55"/>
    <w:link w:val="6"/>
    <w:qFormat/>
    <w:locked/>
    <w:uiPriority w:val="99"/>
    <w:rPr>
      <w:rFonts w:ascii="Times New Roman" w:hAnsi="Times New Roman" w:eastAsia="宋体" w:cs="Times New Roman"/>
      <w:b/>
      <w:bCs/>
      <w:sz w:val="32"/>
      <w:szCs w:val="32"/>
    </w:rPr>
  </w:style>
  <w:style w:type="character" w:customStyle="1" w:styleId="72">
    <w:name w:val="标题 4 Char"/>
    <w:basedOn w:val="55"/>
    <w:link w:val="7"/>
    <w:qFormat/>
    <w:locked/>
    <w:uiPriority w:val="99"/>
    <w:rPr>
      <w:rFonts w:ascii="Arial" w:hAnsi="Arial" w:eastAsia="黑体" w:cs="Arial"/>
      <w:b/>
      <w:bCs/>
      <w:sz w:val="20"/>
      <w:szCs w:val="20"/>
    </w:rPr>
  </w:style>
  <w:style w:type="character" w:customStyle="1" w:styleId="73">
    <w:name w:val="标题 5 Char"/>
    <w:basedOn w:val="55"/>
    <w:link w:val="8"/>
    <w:qFormat/>
    <w:locked/>
    <w:uiPriority w:val="99"/>
    <w:rPr>
      <w:rFonts w:ascii="Times New Roman" w:hAnsi="Times New Roman" w:eastAsia="宋体" w:cs="Times New Roman"/>
      <w:b/>
      <w:bCs/>
      <w:kern w:val="0"/>
      <w:sz w:val="20"/>
      <w:szCs w:val="20"/>
    </w:rPr>
  </w:style>
  <w:style w:type="character" w:customStyle="1" w:styleId="74">
    <w:name w:val="标题 6 Char"/>
    <w:basedOn w:val="55"/>
    <w:link w:val="9"/>
    <w:qFormat/>
    <w:locked/>
    <w:uiPriority w:val="99"/>
    <w:rPr>
      <w:rFonts w:ascii="Arial" w:hAnsi="Arial" w:eastAsia="黑体" w:cs="Arial"/>
      <w:b/>
      <w:bCs/>
      <w:kern w:val="0"/>
      <w:sz w:val="20"/>
      <w:szCs w:val="20"/>
    </w:rPr>
  </w:style>
  <w:style w:type="character" w:customStyle="1" w:styleId="75">
    <w:name w:val="标题 7 Char"/>
    <w:basedOn w:val="55"/>
    <w:link w:val="10"/>
    <w:qFormat/>
    <w:locked/>
    <w:uiPriority w:val="99"/>
    <w:rPr>
      <w:rFonts w:ascii="Times New Roman" w:hAnsi="Times New Roman" w:eastAsia="宋体" w:cs="Times New Roman"/>
      <w:b/>
      <w:bCs/>
      <w:sz w:val="24"/>
      <w:szCs w:val="24"/>
    </w:rPr>
  </w:style>
  <w:style w:type="character" w:customStyle="1" w:styleId="76">
    <w:name w:val="标题 8 Char"/>
    <w:basedOn w:val="55"/>
    <w:link w:val="11"/>
    <w:qFormat/>
    <w:locked/>
    <w:uiPriority w:val="99"/>
    <w:rPr>
      <w:rFonts w:ascii="Arial" w:hAnsi="Arial" w:eastAsia="黑体" w:cs="Arial"/>
      <w:kern w:val="0"/>
      <w:sz w:val="20"/>
      <w:szCs w:val="20"/>
    </w:rPr>
  </w:style>
  <w:style w:type="character" w:customStyle="1" w:styleId="77">
    <w:name w:val="标题 9 Char"/>
    <w:basedOn w:val="55"/>
    <w:link w:val="12"/>
    <w:qFormat/>
    <w:locked/>
    <w:uiPriority w:val="99"/>
    <w:rPr>
      <w:rFonts w:ascii="Arial" w:hAnsi="Arial" w:eastAsia="黑体" w:cs="Arial"/>
      <w:kern w:val="0"/>
      <w:sz w:val="20"/>
      <w:szCs w:val="20"/>
    </w:rPr>
  </w:style>
  <w:style w:type="character" w:customStyle="1" w:styleId="78">
    <w:name w:val="文档结构图 Char1"/>
    <w:basedOn w:val="55"/>
    <w:link w:val="17"/>
    <w:semiHidden/>
    <w:qFormat/>
    <w:locked/>
    <w:uiPriority w:val="99"/>
    <w:rPr>
      <w:rFonts w:ascii="宋体" w:hAnsi="Times New Roman" w:eastAsia="宋体" w:cs="宋体"/>
      <w:sz w:val="18"/>
      <w:szCs w:val="18"/>
    </w:rPr>
  </w:style>
  <w:style w:type="character" w:customStyle="1" w:styleId="79">
    <w:name w:val="批注文字 Char1"/>
    <w:basedOn w:val="55"/>
    <w:link w:val="19"/>
    <w:semiHidden/>
    <w:qFormat/>
    <w:locked/>
    <w:uiPriority w:val="99"/>
    <w:rPr>
      <w:rFonts w:ascii="Times New Roman" w:hAnsi="Times New Roman" w:eastAsia="宋体" w:cs="Times New Roman"/>
      <w:sz w:val="24"/>
      <w:szCs w:val="24"/>
    </w:rPr>
  </w:style>
  <w:style w:type="character" w:customStyle="1" w:styleId="80">
    <w:name w:val="正文文本 Char1"/>
    <w:basedOn w:val="55"/>
    <w:link w:val="3"/>
    <w:semiHidden/>
    <w:qFormat/>
    <w:locked/>
    <w:uiPriority w:val="99"/>
    <w:rPr>
      <w:rFonts w:ascii="Times New Roman" w:hAnsi="Times New Roman" w:eastAsia="宋体" w:cs="Times New Roman"/>
      <w:sz w:val="24"/>
      <w:szCs w:val="24"/>
    </w:rPr>
  </w:style>
  <w:style w:type="character" w:customStyle="1" w:styleId="81">
    <w:name w:val="正文文本缩进 Char1"/>
    <w:basedOn w:val="55"/>
    <w:link w:val="20"/>
    <w:semiHidden/>
    <w:qFormat/>
    <w:locked/>
    <w:uiPriority w:val="99"/>
    <w:rPr>
      <w:rFonts w:ascii="Times New Roman" w:hAnsi="Times New Roman" w:eastAsia="宋体" w:cs="Times New Roman"/>
      <w:sz w:val="24"/>
      <w:szCs w:val="24"/>
    </w:rPr>
  </w:style>
  <w:style w:type="character" w:customStyle="1" w:styleId="82">
    <w:name w:val="纯文本 Char1"/>
    <w:basedOn w:val="55"/>
    <w:link w:val="27"/>
    <w:semiHidden/>
    <w:qFormat/>
    <w:locked/>
    <w:uiPriority w:val="99"/>
    <w:rPr>
      <w:rFonts w:ascii="宋体" w:hAnsi="Courier New" w:eastAsia="宋体" w:cs="宋体"/>
      <w:sz w:val="21"/>
      <w:szCs w:val="21"/>
    </w:rPr>
  </w:style>
  <w:style w:type="character" w:customStyle="1" w:styleId="83">
    <w:name w:val="日期 Char1"/>
    <w:basedOn w:val="55"/>
    <w:link w:val="29"/>
    <w:semiHidden/>
    <w:qFormat/>
    <w:locked/>
    <w:uiPriority w:val="99"/>
    <w:rPr>
      <w:rFonts w:ascii="Times New Roman" w:hAnsi="Times New Roman" w:eastAsia="宋体" w:cs="Times New Roman"/>
      <w:sz w:val="24"/>
      <w:szCs w:val="24"/>
    </w:rPr>
  </w:style>
  <w:style w:type="character" w:customStyle="1" w:styleId="84">
    <w:name w:val="正文文本缩进 2 Char1"/>
    <w:basedOn w:val="55"/>
    <w:link w:val="30"/>
    <w:semiHidden/>
    <w:qFormat/>
    <w:locked/>
    <w:uiPriority w:val="99"/>
    <w:rPr>
      <w:rFonts w:ascii="Times New Roman" w:hAnsi="Times New Roman" w:eastAsia="宋体" w:cs="Times New Roman"/>
      <w:sz w:val="24"/>
      <w:szCs w:val="24"/>
    </w:rPr>
  </w:style>
  <w:style w:type="character" w:customStyle="1" w:styleId="85">
    <w:name w:val="批注框文本 Char1"/>
    <w:basedOn w:val="55"/>
    <w:link w:val="32"/>
    <w:semiHidden/>
    <w:qFormat/>
    <w:locked/>
    <w:uiPriority w:val="99"/>
    <w:rPr>
      <w:rFonts w:ascii="Times New Roman" w:hAnsi="Times New Roman" w:eastAsia="宋体" w:cs="Times New Roman"/>
      <w:sz w:val="18"/>
      <w:szCs w:val="18"/>
    </w:rPr>
  </w:style>
  <w:style w:type="character" w:customStyle="1" w:styleId="86">
    <w:name w:val="页脚 Char"/>
    <w:basedOn w:val="55"/>
    <w:link w:val="33"/>
    <w:qFormat/>
    <w:locked/>
    <w:uiPriority w:val="99"/>
    <w:rPr>
      <w:sz w:val="18"/>
      <w:szCs w:val="18"/>
    </w:rPr>
  </w:style>
  <w:style w:type="character" w:customStyle="1" w:styleId="87">
    <w:name w:val="页眉 Char"/>
    <w:basedOn w:val="55"/>
    <w:link w:val="34"/>
    <w:qFormat/>
    <w:locked/>
    <w:uiPriority w:val="99"/>
    <w:rPr>
      <w:sz w:val="18"/>
      <w:szCs w:val="18"/>
    </w:rPr>
  </w:style>
  <w:style w:type="character" w:customStyle="1" w:styleId="88">
    <w:name w:val="脚注文本 Char1"/>
    <w:basedOn w:val="55"/>
    <w:link w:val="39"/>
    <w:semiHidden/>
    <w:qFormat/>
    <w:locked/>
    <w:uiPriority w:val="99"/>
    <w:rPr>
      <w:rFonts w:ascii="Times New Roman" w:hAnsi="Times New Roman" w:eastAsia="宋体" w:cs="Times New Roman"/>
      <w:sz w:val="18"/>
      <w:szCs w:val="18"/>
    </w:rPr>
  </w:style>
  <w:style w:type="character" w:customStyle="1" w:styleId="89">
    <w:name w:val="正文文本缩进 3 Char"/>
    <w:basedOn w:val="55"/>
    <w:link w:val="42"/>
    <w:qFormat/>
    <w:locked/>
    <w:uiPriority w:val="99"/>
    <w:rPr>
      <w:rFonts w:ascii="仿宋_GB2312" w:hAnsi="宋体" w:eastAsia="仿宋_GB2312" w:cs="仿宋_GB2312"/>
      <w:sz w:val="24"/>
      <w:szCs w:val="24"/>
    </w:rPr>
  </w:style>
  <w:style w:type="character" w:customStyle="1" w:styleId="90">
    <w:name w:val="正文文本 2 Char1"/>
    <w:basedOn w:val="55"/>
    <w:link w:val="45"/>
    <w:semiHidden/>
    <w:qFormat/>
    <w:locked/>
    <w:uiPriority w:val="99"/>
    <w:rPr>
      <w:rFonts w:ascii="Times New Roman" w:hAnsi="Times New Roman" w:eastAsia="宋体" w:cs="Times New Roman"/>
      <w:sz w:val="24"/>
      <w:szCs w:val="24"/>
    </w:rPr>
  </w:style>
  <w:style w:type="character" w:customStyle="1" w:styleId="91">
    <w:name w:val="HTML 预设格式 Char2"/>
    <w:basedOn w:val="55"/>
    <w:link w:val="48"/>
    <w:semiHidden/>
    <w:qFormat/>
    <w:locked/>
    <w:uiPriority w:val="99"/>
    <w:rPr>
      <w:rFonts w:ascii="Courier New" w:hAnsi="Courier New" w:eastAsia="宋体" w:cs="Courier New"/>
      <w:sz w:val="20"/>
      <w:szCs w:val="20"/>
    </w:rPr>
  </w:style>
  <w:style w:type="character" w:customStyle="1" w:styleId="92">
    <w:name w:val="批注主题 Char1"/>
    <w:basedOn w:val="79"/>
    <w:link w:val="51"/>
    <w:semiHidden/>
    <w:qFormat/>
    <w:locked/>
    <w:uiPriority w:val="99"/>
    <w:rPr>
      <w:rFonts w:ascii="Times New Roman" w:hAnsi="Times New Roman" w:eastAsia="宋体" w:cs="Times New Roman"/>
      <w:b/>
      <w:bCs/>
      <w:sz w:val="24"/>
      <w:szCs w:val="24"/>
    </w:rPr>
  </w:style>
  <w:style w:type="character" w:customStyle="1" w:styleId="93">
    <w:name w:val="正文首行缩进 Char1"/>
    <w:basedOn w:val="80"/>
    <w:link w:val="2"/>
    <w:semiHidden/>
    <w:qFormat/>
    <w:locked/>
    <w:uiPriority w:val="99"/>
    <w:rPr>
      <w:rFonts w:ascii="Times New Roman" w:hAnsi="Times New Roman" w:eastAsia="宋体" w:cs="Times New Roman"/>
      <w:sz w:val="24"/>
      <w:szCs w:val="24"/>
    </w:rPr>
  </w:style>
  <w:style w:type="character" w:customStyle="1" w:styleId="94">
    <w:name w:val="正文首行缩进 2 Char1"/>
    <w:basedOn w:val="81"/>
    <w:link w:val="52"/>
    <w:semiHidden/>
    <w:qFormat/>
    <w:locked/>
    <w:uiPriority w:val="99"/>
    <w:rPr>
      <w:rFonts w:ascii="Times New Roman" w:hAnsi="Times New Roman" w:eastAsia="宋体" w:cs="Times New Roman"/>
      <w:sz w:val="24"/>
      <w:szCs w:val="24"/>
    </w:rPr>
  </w:style>
  <w:style w:type="character" w:customStyle="1" w:styleId="95">
    <w:name w:val="正文文本缩进 2 Char"/>
    <w:qFormat/>
    <w:uiPriority w:val="99"/>
  </w:style>
  <w:style w:type="character" w:customStyle="1" w:styleId="96">
    <w:name w:val="脚注文本 Char"/>
    <w:qFormat/>
    <w:uiPriority w:val="99"/>
    <w:rPr>
      <w:rFonts w:ascii="Calibri" w:hAnsi="Calibri" w:cs="Calibri"/>
      <w:sz w:val="18"/>
      <w:szCs w:val="18"/>
    </w:rPr>
  </w:style>
  <w:style w:type="character" w:customStyle="1" w:styleId="97">
    <w:name w:val="批注主题 Char"/>
    <w:qFormat/>
    <w:uiPriority w:val="99"/>
    <w:rPr>
      <w:b/>
      <w:bCs/>
      <w:sz w:val="24"/>
      <w:szCs w:val="24"/>
    </w:rPr>
  </w:style>
  <w:style w:type="character" w:customStyle="1" w:styleId="98">
    <w:name w:val="纯文本 Char"/>
    <w:qFormat/>
    <w:uiPriority w:val="99"/>
    <w:rPr>
      <w:rFonts w:ascii="宋体" w:hAnsi="Courier New" w:eastAsia="宋体" w:cs="宋体"/>
    </w:rPr>
  </w:style>
  <w:style w:type="character" w:customStyle="1" w:styleId="99">
    <w:name w:val="文档结构图 Char"/>
    <w:qFormat/>
    <w:uiPriority w:val="99"/>
    <w:rPr>
      <w:rFonts w:ascii="宋体" w:cs="宋体"/>
      <w:sz w:val="18"/>
      <w:szCs w:val="18"/>
    </w:rPr>
  </w:style>
  <w:style w:type="character" w:customStyle="1" w:styleId="100">
    <w:name w:val="HTML 预设格式 Char"/>
    <w:qFormat/>
    <w:uiPriority w:val="99"/>
    <w:rPr>
      <w:rFonts w:ascii="Courier New" w:hAnsi="Courier New" w:cs="Courier New"/>
    </w:rPr>
  </w:style>
  <w:style w:type="character" w:customStyle="1" w:styleId="101">
    <w:name w:val="style1"/>
    <w:qFormat/>
    <w:uiPriority w:val="99"/>
  </w:style>
  <w:style w:type="character" w:customStyle="1" w:styleId="102">
    <w:name w:val="日期 Char"/>
    <w:qFormat/>
    <w:uiPriority w:val="99"/>
    <w:rPr>
      <w:rFonts w:ascii="宋体" w:eastAsia="宋体" w:cs="宋体"/>
      <w:sz w:val="28"/>
      <w:szCs w:val="28"/>
    </w:rPr>
  </w:style>
  <w:style w:type="character" w:customStyle="1" w:styleId="103">
    <w:name w:val="批注框文本 Char"/>
    <w:qFormat/>
    <w:uiPriority w:val="99"/>
    <w:rPr>
      <w:sz w:val="18"/>
      <w:szCs w:val="18"/>
    </w:rPr>
  </w:style>
  <w:style w:type="character" w:customStyle="1" w:styleId="104">
    <w:name w:val="正文文本 Char"/>
    <w:qFormat/>
    <w:uiPriority w:val="99"/>
    <w:rPr>
      <w:rFonts w:eastAsia="宋体"/>
      <w:sz w:val="24"/>
      <w:szCs w:val="24"/>
    </w:rPr>
  </w:style>
  <w:style w:type="character" w:customStyle="1" w:styleId="105">
    <w:name w:val="批注文字 Char"/>
    <w:semiHidden/>
    <w:qFormat/>
    <w:uiPriority w:val="99"/>
    <w:rPr>
      <w:rFonts w:eastAsia="宋体"/>
      <w:sz w:val="24"/>
      <w:szCs w:val="24"/>
    </w:rPr>
  </w:style>
  <w:style w:type="character" w:customStyle="1" w:styleId="106">
    <w:name w:val="标题 1 Char Char"/>
    <w:qFormat/>
    <w:uiPriority w:val="99"/>
    <w:rPr>
      <w:rFonts w:eastAsia="宋体"/>
      <w:b/>
      <w:bCs/>
      <w:spacing w:val="-2"/>
      <w:sz w:val="24"/>
      <w:szCs w:val="24"/>
      <w:lang w:val="en-US" w:eastAsia="zh-CN"/>
    </w:rPr>
  </w:style>
  <w:style w:type="character" w:customStyle="1" w:styleId="107">
    <w:name w:val="正文文本 2 Char2"/>
    <w:link w:val="108"/>
    <w:qFormat/>
    <w:locked/>
    <w:uiPriority w:val="99"/>
    <w:rPr>
      <w:rFonts w:ascii="Calibri" w:hAnsi="Calibri" w:cs="Calibri"/>
      <w:sz w:val="21"/>
      <w:szCs w:val="21"/>
    </w:rPr>
  </w:style>
  <w:style w:type="paragraph" w:customStyle="1" w:styleId="108">
    <w:name w:val="正文文本 21"/>
    <w:basedOn w:val="1"/>
    <w:link w:val="107"/>
    <w:qFormat/>
    <w:uiPriority w:val="99"/>
    <w:pPr>
      <w:spacing w:before="280" w:after="120" w:line="480" w:lineRule="auto"/>
      <w:ind w:left="420" w:hanging="420"/>
    </w:pPr>
    <w:rPr>
      <w:rFonts w:ascii="Calibri" w:hAnsi="Calibri"/>
      <w:kern w:val="0"/>
    </w:rPr>
  </w:style>
  <w:style w:type="character" w:customStyle="1" w:styleId="109">
    <w:name w:val="正文文本 2 Char"/>
    <w:qFormat/>
    <w:uiPriority w:val="99"/>
    <w:rPr>
      <w:rFonts w:ascii="宋体" w:eastAsia="宋体" w:cs="宋体"/>
      <w:sz w:val="24"/>
      <w:szCs w:val="24"/>
    </w:rPr>
  </w:style>
  <w:style w:type="character" w:customStyle="1" w:styleId="110">
    <w:name w:val="flName Char"/>
    <w:link w:val="111"/>
    <w:qFormat/>
    <w:locked/>
    <w:uiPriority w:val="99"/>
    <w:rPr>
      <w:rFonts w:ascii="Arial" w:hAnsi="Arial" w:eastAsia="黑体" w:cs="Arial"/>
      <w:sz w:val="32"/>
      <w:szCs w:val="32"/>
    </w:rPr>
  </w:style>
  <w:style w:type="paragraph" w:customStyle="1" w:styleId="111">
    <w:name w:val="flName"/>
    <w:basedOn w:val="1"/>
    <w:link w:val="110"/>
    <w:qFormat/>
    <w:uiPriority w:val="99"/>
    <w:pPr>
      <w:adjustRightInd w:val="0"/>
      <w:spacing w:before="320" w:after="160" w:line="360" w:lineRule="atLeast"/>
      <w:jc w:val="center"/>
    </w:pPr>
    <w:rPr>
      <w:rFonts w:ascii="Arial" w:hAnsi="Arial" w:eastAsia="黑体"/>
      <w:kern w:val="0"/>
      <w:sz w:val="32"/>
      <w:szCs w:val="32"/>
    </w:rPr>
  </w:style>
  <w:style w:type="character" w:customStyle="1" w:styleId="112">
    <w:name w:val="正文缩进 Char"/>
    <w:qFormat/>
    <w:uiPriority w:val="0"/>
    <w:rPr>
      <w:rFonts w:eastAsia="宋体"/>
      <w:kern w:val="2"/>
      <w:sz w:val="24"/>
      <w:szCs w:val="24"/>
      <w:lang w:val="en-US" w:eastAsia="zh-CN"/>
    </w:rPr>
  </w:style>
  <w:style w:type="character" w:customStyle="1" w:styleId="113">
    <w:name w:val="标题3 字符"/>
    <w:link w:val="114"/>
    <w:qFormat/>
    <w:locked/>
    <w:uiPriority w:val="99"/>
    <w:rPr>
      <w:rFonts w:ascii="宋体" w:eastAsia="宋体" w:cs="宋体"/>
      <w:sz w:val="28"/>
      <w:szCs w:val="28"/>
    </w:rPr>
  </w:style>
  <w:style w:type="paragraph" w:customStyle="1" w:styleId="114">
    <w:name w:val="标题3"/>
    <w:basedOn w:val="6"/>
    <w:next w:val="1"/>
    <w:link w:val="113"/>
    <w:qFormat/>
    <w:uiPriority w:val="99"/>
    <w:rPr>
      <w:rFonts w:ascii="宋体"/>
      <w:b w:val="0"/>
      <w:bCs w:val="0"/>
      <w:kern w:val="0"/>
      <w:sz w:val="28"/>
      <w:szCs w:val="28"/>
    </w:rPr>
  </w:style>
  <w:style w:type="character" w:customStyle="1" w:styleId="115">
    <w:name w:val="正文缩进 Char1"/>
    <w:link w:val="15"/>
    <w:qFormat/>
    <w:locked/>
    <w:uiPriority w:val="99"/>
    <w:rPr>
      <w:rFonts w:eastAsia="宋体"/>
      <w:sz w:val="24"/>
      <w:szCs w:val="24"/>
    </w:rPr>
  </w:style>
  <w:style w:type="character" w:customStyle="1" w:styleId="116">
    <w:name w:val="Style Heading 3 + Char"/>
    <w:link w:val="117"/>
    <w:qFormat/>
    <w:locked/>
    <w:uiPriority w:val="99"/>
    <w:rPr>
      <w:b/>
      <w:bCs/>
      <w:sz w:val="28"/>
      <w:szCs w:val="28"/>
    </w:rPr>
  </w:style>
  <w:style w:type="paragraph" w:customStyle="1" w:styleId="117">
    <w:name w:val="Style Heading 3 +"/>
    <w:basedOn w:val="6"/>
    <w:link w:val="116"/>
    <w:qFormat/>
    <w:uiPriority w:val="99"/>
    <w:pPr>
      <w:spacing w:before="120" w:after="120" w:line="120" w:lineRule="atLeast"/>
    </w:pPr>
    <w:rPr>
      <w:kern w:val="0"/>
      <w:sz w:val="28"/>
      <w:szCs w:val="28"/>
    </w:rPr>
  </w:style>
  <w:style w:type="character" w:customStyle="1" w:styleId="118">
    <w:name w:val="正文文本缩进 Char"/>
    <w:qFormat/>
    <w:uiPriority w:val="99"/>
    <w:rPr>
      <w:rFonts w:eastAsia="宋体"/>
      <w:sz w:val="24"/>
      <w:szCs w:val="24"/>
    </w:rPr>
  </w:style>
  <w:style w:type="character" w:customStyle="1" w:styleId="119">
    <w:name w:val="正文缩进2格 Char"/>
    <w:qFormat/>
    <w:uiPriority w:val="99"/>
    <w:rPr>
      <w:rFonts w:ascii="仿宋_GB2312" w:hAnsi="宋体" w:eastAsia="仿宋_GB2312" w:cs="仿宋_GB2312"/>
      <w:kern w:val="2"/>
      <w:sz w:val="28"/>
      <w:szCs w:val="28"/>
      <w:lang w:val="en-US" w:eastAsia="zh-CN"/>
    </w:rPr>
  </w:style>
  <w:style w:type="character" w:customStyle="1" w:styleId="120">
    <w:name w:val="无间隔 Char"/>
    <w:link w:val="121"/>
    <w:qFormat/>
    <w:locked/>
    <w:uiPriority w:val="99"/>
    <w:rPr>
      <w:rFonts w:ascii="Calibri" w:hAnsi="Calibri" w:cs="Calibri"/>
      <w:kern w:val="2"/>
      <w:sz w:val="22"/>
      <w:szCs w:val="22"/>
      <w:lang w:val="en-US" w:eastAsia="zh-CN" w:bidi="ar-SA"/>
    </w:rPr>
  </w:style>
  <w:style w:type="paragraph" w:styleId="121">
    <w:name w:val="No Spacing"/>
    <w:link w:val="120"/>
    <w:qFormat/>
    <w:uiPriority w:val="99"/>
    <w:rPr>
      <w:rFonts w:ascii="Calibri" w:hAnsi="Calibri" w:eastAsia="宋体" w:cs="Calibri"/>
      <w:kern w:val="2"/>
      <w:sz w:val="22"/>
      <w:szCs w:val="22"/>
      <w:lang w:val="en-US" w:eastAsia="zh-CN" w:bidi="ar-SA"/>
    </w:rPr>
  </w:style>
  <w:style w:type="character" w:customStyle="1" w:styleId="122">
    <w:name w:val="HTML 预设格式 Char1"/>
    <w:qFormat/>
    <w:locked/>
    <w:uiPriority w:val="99"/>
    <w:rPr>
      <w:rFonts w:ascii="Courier New" w:hAnsi="Courier New" w:eastAsia="宋体" w:cs="Courier New"/>
      <w:kern w:val="0"/>
      <w:sz w:val="20"/>
      <w:szCs w:val="20"/>
    </w:rPr>
  </w:style>
  <w:style w:type="character" w:customStyle="1" w:styleId="123">
    <w:name w:val="正文首行缩进 Char"/>
    <w:qFormat/>
    <w:uiPriority w:val="99"/>
    <w:rPr>
      <w:b/>
      <w:bCs/>
      <w:sz w:val="24"/>
      <w:szCs w:val="24"/>
    </w:rPr>
  </w:style>
  <w:style w:type="character" w:customStyle="1" w:styleId="124">
    <w:name w:val="正文首行缩进 2 Char"/>
    <w:basedOn w:val="118"/>
    <w:qFormat/>
    <w:locked/>
    <w:uiPriority w:val="99"/>
    <w:rPr>
      <w:rFonts w:eastAsia="宋体"/>
      <w:sz w:val="24"/>
      <w:szCs w:val="24"/>
    </w:rPr>
  </w:style>
  <w:style w:type="character" w:customStyle="1" w:styleId="125">
    <w:name w:val="16"/>
    <w:qFormat/>
    <w:uiPriority w:val="99"/>
    <w:rPr>
      <w:rFonts w:ascii="Calibri" w:hAnsi="Calibri" w:cs="Calibri"/>
      <w:color w:val="0000FF"/>
      <w:u w:val="single"/>
    </w:rPr>
  </w:style>
  <w:style w:type="character" w:customStyle="1" w:styleId="126">
    <w:name w:val="Char Char4"/>
    <w:qFormat/>
    <w:uiPriority w:val="99"/>
    <w:rPr>
      <w:rFonts w:eastAsia="宋体"/>
      <w:kern w:val="2"/>
      <w:sz w:val="24"/>
      <w:szCs w:val="24"/>
      <w:lang w:val="en-US" w:eastAsia="zh-CN"/>
    </w:rPr>
  </w:style>
  <w:style w:type="character" w:customStyle="1" w:styleId="127">
    <w:name w:val="正文缩进2格 Char Char"/>
    <w:link w:val="128"/>
    <w:qFormat/>
    <w:locked/>
    <w:uiPriority w:val="0"/>
    <w:rPr>
      <w:rFonts w:ascii="仿宋_GB2312" w:hAnsi="宋体" w:eastAsia="仿宋_GB2312" w:cs="仿宋_GB2312"/>
      <w:sz w:val="28"/>
      <w:szCs w:val="28"/>
    </w:rPr>
  </w:style>
  <w:style w:type="paragraph" w:customStyle="1" w:styleId="128">
    <w:name w:val="正文缩进2格"/>
    <w:basedOn w:val="1"/>
    <w:link w:val="127"/>
    <w:qFormat/>
    <w:uiPriority w:val="0"/>
    <w:pPr>
      <w:spacing w:line="600" w:lineRule="exact"/>
      <w:ind w:firstLine="639" w:firstLineChars="206"/>
    </w:pPr>
    <w:rPr>
      <w:rFonts w:ascii="仿宋_GB2312" w:hAnsi="宋体" w:eastAsia="仿宋_GB2312"/>
      <w:kern w:val="0"/>
      <w:sz w:val="28"/>
      <w:szCs w:val="28"/>
    </w:rPr>
  </w:style>
  <w:style w:type="paragraph" w:customStyle="1" w:styleId="129">
    <w:name w:val="xl74"/>
    <w:basedOn w:val="1"/>
    <w:qFormat/>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30">
    <w:name w:val="xl81"/>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82"/>
    <w:basedOn w:val="1"/>
    <w:qFormat/>
    <w:uiPriority w:val="99"/>
    <w:pPr>
      <w:widowControl/>
      <w:pBdr>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2">
    <w:name w:val="正文样式"/>
    <w:basedOn w:val="1"/>
    <w:qFormat/>
    <w:uiPriority w:val="99"/>
    <w:pPr>
      <w:spacing w:line="440" w:lineRule="exact"/>
      <w:ind w:firstLine="200" w:firstLineChars="200"/>
    </w:pPr>
    <w:rPr>
      <w:rFonts w:ascii="仿宋_GB2312" w:eastAsia="仿宋_GB2312" w:cs="仿宋_GB2312"/>
      <w:sz w:val="28"/>
      <w:szCs w:val="28"/>
    </w:rPr>
  </w:style>
  <w:style w:type="paragraph" w:customStyle="1" w:styleId="133">
    <w:name w:val="xl78"/>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34">
    <w:name w:val="xl99"/>
    <w:basedOn w:val="1"/>
    <w:qFormat/>
    <w:uiPriority w:val="9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135">
    <w:name w:val="xl92"/>
    <w:basedOn w:val="1"/>
    <w:qFormat/>
    <w:uiPriority w:val="99"/>
    <w:pPr>
      <w:widowControl/>
      <w:pBdr>
        <w:top w:val="single" w:color="000000" w:sz="4" w:space="0"/>
      </w:pBdr>
      <w:spacing w:before="100" w:beforeAutospacing="1" w:after="100" w:afterAutospacing="1"/>
      <w:jc w:val="center"/>
    </w:pPr>
    <w:rPr>
      <w:rFonts w:ascii="宋体" w:hAnsi="宋体" w:cs="宋体"/>
      <w:kern w:val="0"/>
      <w:sz w:val="20"/>
      <w:szCs w:val="20"/>
    </w:rPr>
  </w:style>
  <w:style w:type="paragraph" w:customStyle="1" w:styleId="136">
    <w:name w:val="xl103"/>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7">
    <w:name w:val="xl76"/>
    <w:basedOn w:val="1"/>
    <w:qFormat/>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3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9">
    <w:name w:val="xl100"/>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1">
    <w:name w:val="xl105"/>
    <w:basedOn w:val="1"/>
    <w:qFormat/>
    <w:uiPriority w:val="99"/>
    <w:pPr>
      <w:widowControl/>
      <w:pBdr>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90"/>
    <w:basedOn w:val="1"/>
    <w:qFormat/>
    <w:uiPriority w:val="99"/>
    <w:pPr>
      <w:widowControl/>
      <w:spacing w:before="100" w:beforeAutospacing="1" w:after="100" w:afterAutospacing="1"/>
      <w:jc w:val="center"/>
    </w:pPr>
    <w:rPr>
      <w:rFonts w:ascii="宋体" w:hAnsi="宋体" w:cs="宋体"/>
      <w:kern w:val="0"/>
      <w:sz w:val="20"/>
      <w:szCs w:val="20"/>
    </w:rPr>
  </w:style>
  <w:style w:type="paragraph" w:customStyle="1" w:styleId="143">
    <w:name w:val="p0"/>
    <w:basedOn w:val="1"/>
    <w:qFormat/>
    <w:uiPriority w:val="99"/>
    <w:pPr>
      <w:widowControl/>
    </w:pPr>
    <w:rPr>
      <w:rFonts w:ascii="Calibri" w:hAnsi="Calibri" w:cs="Calibri"/>
      <w:kern w:val="0"/>
    </w:rPr>
  </w:style>
  <w:style w:type="paragraph" w:customStyle="1" w:styleId="144">
    <w:name w:val="xl86"/>
    <w:basedOn w:val="1"/>
    <w:qFormat/>
    <w:uiPriority w:val="99"/>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45">
    <w:name w:val="xl95"/>
    <w:basedOn w:val="1"/>
    <w:qFormat/>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46">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7">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48">
    <w:name w:val="xl89"/>
    <w:basedOn w:val="1"/>
    <w:qFormat/>
    <w:uiPriority w:val="99"/>
    <w:pPr>
      <w:widowControl/>
      <w:pBdr>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styleId="149">
    <w:name w:val="List Paragraph"/>
    <w:basedOn w:val="1"/>
    <w:link w:val="208"/>
    <w:qFormat/>
    <w:uiPriority w:val="34"/>
    <w:pPr>
      <w:ind w:firstLine="420" w:firstLineChars="200"/>
    </w:pPr>
  </w:style>
  <w:style w:type="paragraph" w:customStyle="1" w:styleId="150">
    <w:name w:val="xl98"/>
    <w:basedOn w:val="1"/>
    <w:qFormat/>
    <w:uiPriority w:val="99"/>
    <w:pPr>
      <w:widowControl/>
      <w:pBdr>
        <w:bottom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51">
    <w:name w:val="xl85"/>
    <w:basedOn w:val="1"/>
    <w:qFormat/>
    <w:uiPriority w:val="99"/>
    <w:pPr>
      <w:widowControl/>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52">
    <w:name w:val="font6"/>
    <w:basedOn w:val="1"/>
    <w:qFormat/>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153">
    <w:name w:val="xl80"/>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4">
    <w:name w:val="样式 标题 1 + 宋体 段前: 0 磅 段后: 0 磅 行距: 单倍行距"/>
    <w:basedOn w:val="4"/>
    <w:next w:val="1"/>
    <w:qFormat/>
    <w:uiPriority w:val="99"/>
    <w:pPr>
      <w:keepLines/>
      <w:spacing w:beforeLines="100" w:afterLines="100"/>
    </w:pPr>
    <w:rPr>
      <w:rFonts w:ascii="仿宋_GB2312" w:hAnsi="宋体" w:cs="仿宋_GB2312"/>
      <w:b/>
      <w:bCs/>
      <w:kern w:val="44"/>
      <w:sz w:val="44"/>
      <w:szCs w:val="44"/>
    </w:rPr>
  </w:style>
  <w:style w:type="paragraph" w:customStyle="1" w:styleId="155">
    <w:name w:val="正文文字3"/>
    <w:basedOn w:val="3"/>
    <w:qFormat/>
    <w:uiPriority w:val="99"/>
    <w:pPr>
      <w:adjustRightInd w:val="0"/>
      <w:spacing w:after="0" w:line="360" w:lineRule="atLeast"/>
      <w:ind w:left="30" w:leftChars="30" w:right="30" w:rightChars="30"/>
    </w:pPr>
  </w:style>
  <w:style w:type="paragraph" w:customStyle="1" w:styleId="156">
    <w:name w:val="TOC 标题1"/>
    <w:basedOn w:val="4"/>
    <w:next w:val="1"/>
    <w:qFormat/>
    <w:uiPriority w:val="99"/>
    <w:pPr>
      <w:keepLines/>
      <w:widowControl/>
      <w:spacing w:before="480" w:line="276" w:lineRule="auto"/>
      <w:jc w:val="left"/>
      <w:outlineLvl w:val="9"/>
    </w:pPr>
    <w:rPr>
      <w:rFonts w:ascii="Cambria" w:hAnsi="Cambria" w:eastAsia="宋体" w:cs="Cambria"/>
      <w:b/>
      <w:bCs/>
      <w:color w:val="365F91"/>
      <w:kern w:val="0"/>
    </w:rPr>
  </w:style>
  <w:style w:type="paragraph" w:customStyle="1" w:styleId="157">
    <w:name w:val="图文"/>
    <w:basedOn w:val="1"/>
    <w:qFormat/>
    <w:uiPriority w:val="99"/>
    <w:pPr>
      <w:adjustRightInd w:val="0"/>
      <w:snapToGrid w:val="0"/>
      <w:spacing w:after="50" w:line="360" w:lineRule="auto"/>
    </w:pPr>
    <w:rPr>
      <w:sz w:val="24"/>
      <w:szCs w:val="24"/>
    </w:rPr>
  </w:style>
  <w:style w:type="paragraph" w:customStyle="1" w:styleId="158">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59">
    <w:name w:val="xl8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60">
    <w:name w:val="xl107"/>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161">
    <w:name w:val="xl65"/>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6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63">
    <w:name w:val="xl106"/>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4">
    <w:name w:val="xl104"/>
    <w:basedOn w:val="1"/>
    <w:qFormat/>
    <w:uiPriority w:val="99"/>
    <w:pPr>
      <w:widowControl/>
      <w:pBdr>
        <w:left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5">
    <w:name w:val="xl108"/>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6">
    <w:name w:val="xl111"/>
    <w:basedOn w:val="1"/>
    <w:qFormat/>
    <w:uiPriority w:val="99"/>
    <w:pPr>
      <w:widowControl/>
      <w:pBdr>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7">
    <w:name w:val="xl91"/>
    <w:basedOn w:val="1"/>
    <w:qFormat/>
    <w:uiPriority w:val="99"/>
    <w:pPr>
      <w:widowControl/>
      <w:pBdr>
        <w:top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68">
    <w:name w:val="xl94"/>
    <w:basedOn w:val="1"/>
    <w:qFormat/>
    <w:uiPriority w:val="99"/>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69">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1">
    <w:name w:val="xl96"/>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3">
    <w:name w:val="xl63"/>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4">
    <w:name w:val="xl79"/>
    <w:basedOn w:val="1"/>
    <w:qFormat/>
    <w:uiPriority w:val="99"/>
    <w:pPr>
      <w:widowControl/>
      <w:pBdr>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75">
    <w:name w:val="xl102"/>
    <w:basedOn w:val="1"/>
    <w:qFormat/>
    <w:uiPriority w:val="99"/>
    <w:pPr>
      <w:widowControl/>
      <w:pBdr>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8">
    <w:name w:val="xl77"/>
    <w:basedOn w:val="1"/>
    <w:qFormat/>
    <w:uiPriority w:val="99"/>
    <w:pPr>
      <w:widowControl/>
      <w:pBdr>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179">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80">
    <w:name w:val="xl97"/>
    <w:basedOn w:val="1"/>
    <w:qFormat/>
    <w:uiPriority w:val="99"/>
    <w:pPr>
      <w:widowControl/>
      <w:pBdr>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81">
    <w:name w:val="xl101"/>
    <w:basedOn w:val="1"/>
    <w:qFormat/>
    <w:uiPriority w:val="99"/>
    <w:pPr>
      <w:widowControl/>
      <w:pBdr>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2">
    <w:name w:val="列出段落1"/>
    <w:basedOn w:val="1"/>
    <w:qFormat/>
    <w:uiPriority w:val="99"/>
    <w:pPr>
      <w:widowControl/>
      <w:spacing w:before="100" w:beforeAutospacing="1" w:after="100" w:afterAutospacing="1"/>
      <w:jc w:val="left"/>
    </w:pPr>
    <w:rPr>
      <w:rFonts w:ascii="Arial" w:hAnsi="Arial" w:cs="Arial"/>
      <w:color w:val="000000"/>
      <w:sz w:val="18"/>
      <w:szCs w:val="18"/>
    </w:rPr>
  </w:style>
  <w:style w:type="paragraph" w:customStyle="1" w:styleId="183">
    <w:name w:val="xl93"/>
    <w:basedOn w:val="1"/>
    <w:qFormat/>
    <w:uiPriority w:val="99"/>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仿宋_GB2312" w:hAnsi="宋体" w:eastAsia="仿宋_GB2312" w:cs="仿宋_GB2312"/>
      <w:kern w:val="0"/>
      <w:sz w:val="20"/>
      <w:szCs w:val="20"/>
    </w:rPr>
  </w:style>
  <w:style w:type="paragraph" w:customStyle="1" w:styleId="184">
    <w:name w:val="xl87"/>
    <w:basedOn w:val="1"/>
    <w:qFormat/>
    <w:uiPriority w:val="99"/>
    <w:pPr>
      <w:widowControl/>
      <w:pBdr>
        <w:top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85">
    <w:name w:val="Char"/>
    <w:basedOn w:val="1"/>
    <w:qFormat/>
    <w:uiPriority w:val="99"/>
  </w:style>
  <w:style w:type="paragraph" w:customStyle="1" w:styleId="18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87">
    <w:name w:val="xl88"/>
    <w:basedOn w:val="1"/>
    <w:qFormat/>
    <w:uiPriority w:val="99"/>
    <w:pPr>
      <w:widowControl/>
      <w:pBdr>
        <w:left w:val="single" w:color="000000" w:sz="4" w:space="0"/>
      </w:pBdr>
      <w:spacing w:before="100" w:beforeAutospacing="1" w:after="100" w:afterAutospacing="1"/>
      <w:jc w:val="center"/>
    </w:pPr>
    <w:rPr>
      <w:rFonts w:ascii="宋体" w:hAnsi="宋体" w:cs="宋体"/>
      <w:kern w:val="0"/>
      <w:sz w:val="20"/>
      <w:szCs w:val="20"/>
    </w:rPr>
  </w:style>
  <w:style w:type="paragraph" w:customStyle="1" w:styleId="188">
    <w:name w:val="简单回函地址"/>
    <w:basedOn w:val="1"/>
    <w:qFormat/>
    <w:uiPriority w:val="99"/>
  </w:style>
  <w:style w:type="paragraph" w:customStyle="1" w:styleId="18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90">
    <w:name w:val="xl110"/>
    <w:basedOn w:val="1"/>
    <w:qFormat/>
    <w:uiPriority w:val="99"/>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191">
    <w:name w:val="默认段落字体 Para Char Char Char Char"/>
    <w:basedOn w:val="1"/>
    <w:qFormat/>
    <w:uiPriority w:val="99"/>
  </w:style>
  <w:style w:type="paragraph" w:customStyle="1" w:styleId="192">
    <w:name w:val="纯文本1"/>
    <w:basedOn w:val="1"/>
    <w:qFormat/>
    <w:uiPriority w:val="99"/>
    <w:rPr>
      <w:rFonts w:ascii="宋体" w:hAnsi="Courier New" w:eastAsia="Times New Roman" w:cs="宋体"/>
    </w:rPr>
  </w:style>
  <w:style w:type="paragraph" w:customStyle="1" w:styleId="193">
    <w:name w:val="Char Char Char1 Char"/>
    <w:basedOn w:val="1"/>
    <w:qFormat/>
    <w:uiPriority w:val="99"/>
  </w:style>
  <w:style w:type="paragraph" w:customStyle="1" w:styleId="194">
    <w:name w:val="List Paragraph1"/>
    <w:basedOn w:val="1"/>
    <w:qFormat/>
    <w:uiPriority w:val="99"/>
    <w:pPr>
      <w:ind w:firstLine="420" w:firstLineChars="200"/>
    </w:pPr>
    <w:rPr>
      <w:rFonts w:ascii="Calibri" w:hAnsi="Calibri" w:eastAsia="楷体_GB2312" w:cs="Calibri"/>
      <w:kern w:val="0"/>
      <w:sz w:val="20"/>
      <w:szCs w:val="20"/>
    </w:rPr>
  </w:style>
  <w:style w:type="paragraph" w:customStyle="1" w:styleId="19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7">
    <w:name w:val="列出段落2"/>
    <w:basedOn w:val="1"/>
    <w:qFormat/>
    <w:uiPriority w:val="99"/>
    <w:pPr>
      <w:ind w:firstLine="420" w:firstLineChars="200"/>
    </w:pPr>
    <w:rPr>
      <w:rFonts w:ascii="Calibri" w:hAnsi="Calibri" w:cs="Calibri"/>
    </w:rPr>
  </w:style>
  <w:style w:type="paragraph" w:customStyle="1" w:styleId="198">
    <w:name w:val="xl64"/>
    <w:basedOn w:val="1"/>
    <w:qFormat/>
    <w:uiPriority w:val="99"/>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99">
    <w:name w:val="xl109"/>
    <w:basedOn w:val="1"/>
    <w:qFormat/>
    <w:uiPriority w:val="99"/>
    <w:pPr>
      <w:widowControl/>
      <w:pBdr>
        <w:top w:val="single" w:color="000000" w:sz="4" w:space="0"/>
        <w:left w:val="single" w:color="000000" w:sz="4" w:space="0"/>
        <w:bottom w:val="single" w:color="000000" w:sz="4" w:space="0"/>
      </w:pBdr>
      <w:shd w:val="clear" w:color="000000" w:fill="FFFFFF"/>
      <w:spacing w:before="100" w:beforeAutospacing="1" w:after="100" w:afterAutospacing="1"/>
      <w:jc w:val="left"/>
    </w:pPr>
    <w:rPr>
      <w:rFonts w:ascii="仿宋_GB2312" w:hAnsi="宋体" w:eastAsia="仿宋_GB2312" w:cs="仿宋_GB2312"/>
      <w:kern w:val="0"/>
      <w:sz w:val="20"/>
      <w:szCs w:val="20"/>
    </w:rPr>
  </w:style>
  <w:style w:type="paragraph" w:customStyle="1" w:styleId="200">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201">
    <w:name w:val="修订1"/>
    <w:hidden/>
    <w:qFormat/>
    <w:uiPriority w:val="99"/>
    <w:rPr>
      <w:rFonts w:ascii="Times New Roman" w:hAnsi="Times New Roman" w:eastAsia="宋体" w:cs="Times New Roman"/>
      <w:kern w:val="2"/>
      <w:sz w:val="21"/>
      <w:szCs w:val="21"/>
      <w:lang w:val="en-US" w:eastAsia="zh-CN" w:bidi="ar-SA"/>
    </w:rPr>
  </w:style>
  <w:style w:type="paragraph" w:customStyle="1" w:styleId="2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03">
    <w:name w:val="Hyperlink.0"/>
    <w:qFormat/>
    <w:uiPriority w:val="0"/>
    <w:rPr>
      <w:rFonts w:ascii="宋体" w:hAnsi="宋体" w:eastAsia="宋体" w:cs="宋体"/>
      <w:sz w:val="24"/>
      <w:szCs w:val="24"/>
      <w:lang w:val="zh-TW" w:eastAsia="zh-TW"/>
    </w:rPr>
  </w:style>
  <w:style w:type="table" w:customStyle="1" w:styleId="204">
    <w:name w:val="Table Normal"/>
    <w:qFormat/>
    <w:uiPriority w:val="0"/>
    <w:tblPr>
      <w:tblCellMar>
        <w:top w:w="0" w:type="dxa"/>
        <w:left w:w="0" w:type="dxa"/>
        <w:bottom w:w="0" w:type="dxa"/>
        <w:right w:w="0" w:type="dxa"/>
      </w:tblCellMar>
    </w:tblPr>
  </w:style>
  <w:style w:type="paragraph" w:customStyle="1" w:styleId="205">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06">
    <w:name w:val="正文 New"/>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table" w:customStyle="1" w:styleId="207">
    <w:name w:val="网格型1"/>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8">
    <w:name w:val="列出段落 Char"/>
    <w:link w:val="149"/>
    <w:qFormat/>
    <w:uiPriority w:val="34"/>
    <w:rPr>
      <w:kern w:val="2"/>
      <w:sz w:val="21"/>
      <w:szCs w:val="21"/>
    </w:rPr>
  </w:style>
  <w:style w:type="table" w:customStyle="1" w:styleId="209">
    <w:name w:val="网格型2"/>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21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2">
    <w:name w:val="表格文字"/>
    <w:basedOn w:val="1"/>
    <w:next w:val="3"/>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A1299-7E5E-4055-8369-A5BAE9F354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15178</Words>
  <Characters>15607</Characters>
  <Lines>198</Lines>
  <Paragraphs>56</Paragraphs>
  <TotalTime>56</TotalTime>
  <ScaleCrop>false</ScaleCrop>
  <LinksUpToDate>false</LinksUpToDate>
  <CharactersWithSpaces>16148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2020-06-02T06:44:00Z</dcterms:created>
  <dc:creator>admin</dc:creator>
  <cp:lastModifiedBy>SyanH✡❅♛</cp:lastModifiedBy>
  <dcterms:modified xsi:type="dcterms:W3CDTF">2025-05-23T01:22:53Z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7F6E9C26CDD6429A96521AE8EE01C181</vt:lpwstr>
  </property>
  <property fmtid="{D5CDD505-2E9C-101B-9397-08002B2CF9AE}" pid="4" name="KSOTemplateDocerSaveRecord">
    <vt:lpwstr>eyJoZGlkIjoiYTg0MGMwODZjMjQ4M2QzMDQ3ZmVhNGFhZGIyZTNjNjIiLCJ1c2VySWQiOiIxMTM4MzEwMTY1In0=</vt:lpwstr>
  </property>
</Properties>
</file>