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E27B0A">
      <w:pPr>
        <w:spacing w:line="360" w:lineRule="auto"/>
        <w:jc w:val="center"/>
        <w:rPr>
          <w:rFonts w:ascii="宋体" w:hAnsi="宋体"/>
          <w:b/>
          <w:color w:val="auto"/>
          <w:sz w:val="44"/>
          <w:szCs w:val="44"/>
          <w:highlight w:val="none"/>
        </w:rPr>
      </w:pPr>
    </w:p>
    <w:p w14:paraId="0317794C">
      <w:pPr>
        <w:spacing w:line="360" w:lineRule="auto"/>
        <w:jc w:val="center"/>
        <w:rPr>
          <w:rFonts w:hint="eastAsia" w:ascii="宋体" w:hAnsi="宋体" w:eastAsia="宋体"/>
          <w:color w:val="auto"/>
          <w:w w:val="90"/>
          <w:kern w:val="0"/>
          <w:sz w:val="44"/>
          <w:szCs w:val="44"/>
          <w:highlight w:val="none"/>
          <w:lang w:eastAsia="zh-CN"/>
        </w:rPr>
      </w:pPr>
      <w:r>
        <w:rPr>
          <w:rFonts w:hint="eastAsia" w:ascii="宋体" w:hAnsi="宋体"/>
          <w:color w:val="auto"/>
          <w:w w:val="90"/>
          <w:kern w:val="0"/>
          <w:sz w:val="44"/>
          <w:szCs w:val="44"/>
          <w:highlight w:val="none"/>
          <w:lang w:eastAsia="zh-CN"/>
        </w:rPr>
        <w:t>南通市养老服务指导中心网络安全服务采购项目</w:t>
      </w:r>
    </w:p>
    <w:p w14:paraId="1D8A042F">
      <w:pPr>
        <w:jc w:val="center"/>
        <w:rPr>
          <w:rFonts w:ascii="宋体" w:hAnsi="宋体"/>
          <w:color w:val="auto"/>
          <w:sz w:val="28"/>
          <w:szCs w:val="21"/>
          <w:highlight w:val="none"/>
        </w:rPr>
      </w:pPr>
    </w:p>
    <w:p w14:paraId="2EF6FFFD">
      <w:pPr>
        <w:pStyle w:val="60"/>
        <w:ind w:firstLine="280"/>
        <w:rPr>
          <w:color w:val="auto"/>
          <w:highlight w:val="none"/>
        </w:rPr>
      </w:pPr>
    </w:p>
    <w:p w14:paraId="3C64D775">
      <w:pPr>
        <w:pStyle w:val="60"/>
        <w:ind w:firstLine="280"/>
        <w:rPr>
          <w:color w:val="auto"/>
          <w:highlight w:val="none"/>
        </w:rPr>
      </w:pPr>
    </w:p>
    <w:p w14:paraId="4D206D75">
      <w:pPr>
        <w:pStyle w:val="60"/>
        <w:ind w:firstLine="280"/>
        <w:rPr>
          <w:color w:val="auto"/>
          <w:highlight w:val="none"/>
        </w:rPr>
      </w:pPr>
    </w:p>
    <w:p w14:paraId="48761336">
      <w:pPr>
        <w:pStyle w:val="60"/>
        <w:ind w:firstLine="280"/>
        <w:rPr>
          <w:rFonts w:ascii="宋体" w:eastAsia="宋体"/>
          <w:color w:val="auto"/>
          <w:highlight w:val="none"/>
        </w:rPr>
      </w:pPr>
    </w:p>
    <w:p w14:paraId="475D170E">
      <w:pPr>
        <w:spacing w:line="360" w:lineRule="auto"/>
        <w:jc w:val="center"/>
        <w:rPr>
          <w:rFonts w:ascii="宋体" w:hAnsi="宋体" w:cs="宋体"/>
          <w:b/>
          <w:color w:val="auto"/>
          <w:sz w:val="96"/>
          <w:szCs w:val="96"/>
          <w:highlight w:val="none"/>
        </w:rPr>
      </w:pPr>
      <w:r>
        <w:rPr>
          <w:rFonts w:hint="eastAsia" w:ascii="宋体" w:hAnsi="宋体" w:cs="宋体"/>
          <w:b/>
          <w:color w:val="auto"/>
          <w:sz w:val="72"/>
          <w:szCs w:val="72"/>
          <w:highlight w:val="none"/>
        </w:rPr>
        <w:t>公开招标文件</w:t>
      </w:r>
    </w:p>
    <w:p w14:paraId="15247B9F">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（资格后审）</w:t>
      </w:r>
    </w:p>
    <w:p w14:paraId="1A4B770E">
      <w:pPr>
        <w:jc w:val="center"/>
        <w:rPr>
          <w:rFonts w:ascii="宋体" w:hAnsi="宋体"/>
          <w:color w:val="auto"/>
          <w:sz w:val="28"/>
          <w:szCs w:val="21"/>
          <w:highlight w:val="none"/>
        </w:rPr>
      </w:pPr>
    </w:p>
    <w:p w14:paraId="54B76220">
      <w:pPr>
        <w:spacing w:line="360" w:lineRule="auto"/>
        <w:jc w:val="center"/>
        <w:rPr>
          <w:rFonts w:ascii="宋体" w:hAnsi="宋体"/>
          <w:b/>
          <w:color w:val="auto"/>
          <w:sz w:val="36"/>
          <w:szCs w:val="36"/>
          <w:highlight w:val="none"/>
        </w:rPr>
      </w:pPr>
    </w:p>
    <w:p w14:paraId="152BF748">
      <w:pPr>
        <w:tabs>
          <w:tab w:val="left" w:pos="6300"/>
        </w:tabs>
        <w:spacing w:line="360" w:lineRule="auto"/>
        <w:rPr>
          <w:rFonts w:ascii="宋体" w:hAnsi="宋体"/>
          <w:b/>
          <w:bCs/>
          <w:color w:val="auto"/>
          <w:sz w:val="36"/>
          <w:szCs w:val="36"/>
          <w:highlight w:val="none"/>
        </w:rPr>
      </w:pPr>
    </w:p>
    <w:p w14:paraId="06094CA2">
      <w:pPr>
        <w:tabs>
          <w:tab w:val="left" w:pos="6300"/>
        </w:tabs>
        <w:spacing w:line="360" w:lineRule="auto"/>
        <w:rPr>
          <w:rFonts w:ascii="宋体" w:hAnsi="宋体"/>
          <w:b/>
          <w:bCs/>
          <w:color w:val="auto"/>
          <w:sz w:val="36"/>
          <w:szCs w:val="36"/>
          <w:highlight w:val="none"/>
        </w:rPr>
      </w:pPr>
    </w:p>
    <w:p w14:paraId="5BFC8F19">
      <w:pPr>
        <w:pStyle w:val="60"/>
        <w:ind w:firstLine="280"/>
        <w:rPr>
          <w:rFonts w:ascii="宋体" w:eastAsia="宋体"/>
          <w:color w:val="auto"/>
          <w:highlight w:val="none"/>
        </w:rPr>
      </w:pPr>
    </w:p>
    <w:p w14:paraId="0F250406">
      <w:pPr>
        <w:pStyle w:val="60"/>
        <w:ind w:firstLine="280"/>
        <w:rPr>
          <w:rFonts w:ascii="宋体" w:eastAsia="宋体"/>
          <w:color w:val="auto"/>
          <w:highlight w:val="none"/>
        </w:rPr>
      </w:pPr>
    </w:p>
    <w:p w14:paraId="2AA180F5">
      <w:pPr>
        <w:pStyle w:val="60"/>
        <w:ind w:firstLine="280"/>
        <w:rPr>
          <w:rFonts w:ascii="宋体" w:eastAsia="宋体"/>
          <w:color w:val="auto"/>
          <w:highlight w:val="none"/>
        </w:rPr>
      </w:pPr>
    </w:p>
    <w:p w14:paraId="656BCE22">
      <w:pPr>
        <w:pStyle w:val="60"/>
        <w:ind w:firstLine="280"/>
        <w:rPr>
          <w:rFonts w:ascii="宋体" w:eastAsia="宋体"/>
          <w:color w:val="auto"/>
          <w:highlight w:val="none"/>
        </w:rPr>
      </w:pPr>
    </w:p>
    <w:p w14:paraId="07C3424C">
      <w:pPr>
        <w:spacing w:line="360" w:lineRule="auto"/>
        <w:ind w:firstLine="1928" w:firstLineChars="400"/>
        <w:jc w:val="both"/>
        <w:rPr>
          <w:rFonts w:ascii="宋体" w:hAnsi="宋体"/>
          <w:b/>
          <w:color w:val="auto"/>
          <w:sz w:val="32"/>
          <w:szCs w:val="32"/>
          <w:highlight w:val="none"/>
        </w:rPr>
      </w:pPr>
      <w:bookmarkStart w:id="0" w:name="_Toc241913651"/>
      <w:bookmarkStart w:id="1" w:name="_Toc312608845"/>
      <w:bookmarkStart w:id="2" w:name="_Toc257275442"/>
      <w:r>
        <w:rPr>
          <w:rFonts w:hint="eastAsia" w:ascii="宋体" w:hAnsi="宋体"/>
          <w:b/>
          <w:color w:val="auto"/>
          <w:spacing w:val="81"/>
          <w:kern w:val="0"/>
          <w:sz w:val="32"/>
          <w:szCs w:val="32"/>
          <w:highlight w:val="none"/>
          <w:fitText w:val="1284" w:id="-1688883709"/>
        </w:rPr>
        <w:t>采购</w:t>
      </w:r>
      <w:r>
        <w:rPr>
          <w:rFonts w:hint="eastAsia" w:ascii="宋体" w:hAnsi="宋体"/>
          <w:b/>
          <w:color w:val="auto"/>
          <w:spacing w:val="0"/>
          <w:kern w:val="0"/>
          <w:sz w:val="32"/>
          <w:szCs w:val="32"/>
          <w:highlight w:val="none"/>
          <w:fitText w:val="1284" w:id="-1688883709"/>
        </w:rPr>
        <w:t>人</w:t>
      </w:r>
      <w:r>
        <w:rPr>
          <w:rFonts w:hint="eastAsia" w:ascii="宋体" w:hAnsi="宋体"/>
          <w:b/>
          <w:color w:val="auto"/>
          <w:sz w:val="32"/>
          <w:szCs w:val="32"/>
          <w:highlight w:val="none"/>
        </w:rPr>
        <w:t>：</w:t>
      </w:r>
      <w:r>
        <w:rPr>
          <w:rFonts w:hint="eastAsia" w:ascii="宋体" w:hAnsi="宋体"/>
          <w:b/>
          <w:color w:val="auto"/>
          <w:sz w:val="32"/>
          <w:szCs w:val="32"/>
          <w:highlight w:val="none"/>
          <w:lang w:eastAsia="zh-CN"/>
        </w:rPr>
        <w:t>南通市养老服务指导中心</w:t>
      </w:r>
    </w:p>
    <w:p w14:paraId="3C6A95F8">
      <w:pPr>
        <w:spacing w:line="360" w:lineRule="auto"/>
        <w:ind w:firstLine="1928" w:firstLineChars="200"/>
        <w:rPr>
          <w:rFonts w:ascii="宋体" w:hAnsi="宋体"/>
          <w:b/>
          <w:color w:val="auto"/>
          <w:sz w:val="32"/>
          <w:szCs w:val="32"/>
          <w:highlight w:val="none"/>
        </w:rPr>
      </w:pPr>
      <w:r>
        <w:rPr>
          <w:rFonts w:hint="eastAsia" w:ascii="宋体" w:hAnsi="宋体"/>
          <w:b/>
          <w:color w:val="auto"/>
          <w:spacing w:val="322"/>
          <w:kern w:val="0"/>
          <w:sz w:val="32"/>
          <w:szCs w:val="32"/>
          <w:highlight w:val="none"/>
          <w:fitText w:val="1284" w:id="-1688883707"/>
        </w:rPr>
        <w:t>日</w:t>
      </w:r>
      <w:r>
        <w:rPr>
          <w:rFonts w:hint="eastAsia" w:ascii="宋体" w:hAnsi="宋体"/>
          <w:b/>
          <w:color w:val="auto"/>
          <w:spacing w:val="0"/>
          <w:kern w:val="0"/>
          <w:sz w:val="32"/>
          <w:szCs w:val="32"/>
          <w:highlight w:val="none"/>
          <w:fitText w:val="1284" w:id="-1688883707"/>
        </w:rPr>
        <w:t>期</w:t>
      </w: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9</w:t>
      </w:r>
      <w:r>
        <w:rPr>
          <w:rFonts w:hint="eastAsia" w:ascii="宋体" w:hAnsi="宋体"/>
          <w:b/>
          <w:color w:val="auto"/>
          <w:sz w:val="32"/>
          <w:szCs w:val="32"/>
          <w:highlight w:val="none"/>
        </w:rPr>
        <w:t>月</w:t>
      </w:r>
      <w:r>
        <w:rPr>
          <w:rFonts w:hint="eastAsia" w:ascii="宋体" w:hAnsi="宋体"/>
          <w:b/>
          <w:color w:val="auto"/>
          <w:sz w:val="32"/>
          <w:szCs w:val="32"/>
          <w:highlight w:val="none"/>
          <w:lang w:val="en-US" w:eastAsia="zh-CN"/>
        </w:rPr>
        <w:t>20</w:t>
      </w:r>
      <w:r>
        <w:rPr>
          <w:rFonts w:hint="eastAsia" w:ascii="宋体" w:hAnsi="宋体"/>
          <w:b/>
          <w:color w:val="auto"/>
          <w:sz w:val="32"/>
          <w:szCs w:val="32"/>
          <w:highlight w:val="none"/>
        </w:rPr>
        <w:t>日</w:t>
      </w:r>
    </w:p>
    <w:p w14:paraId="5E5CE0C5">
      <w:pPr>
        <w:pStyle w:val="60"/>
        <w:ind w:firstLine="280"/>
        <w:rPr>
          <w:rFonts w:ascii="宋体" w:eastAsia="宋体"/>
          <w:b/>
          <w:color w:val="auto"/>
          <w:szCs w:val="28"/>
          <w:highlight w:val="none"/>
        </w:rPr>
      </w:pPr>
      <w:r>
        <w:rPr>
          <w:rFonts w:ascii="宋体" w:eastAsia="宋体"/>
          <w:color w:val="auto"/>
          <w:highlight w:val="none"/>
        </w:rPr>
        <w:br w:type="page"/>
      </w:r>
      <w:bookmarkEnd w:id="0"/>
      <w:bookmarkEnd w:id="1"/>
      <w:bookmarkEnd w:id="2"/>
    </w:p>
    <w:p w14:paraId="242A77EE">
      <w:pPr>
        <w:spacing w:line="360" w:lineRule="auto"/>
        <w:jc w:val="center"/>
        <w:rPr>
          <w:rFonts w:ascii="宋体" w:hAnsi="宋体"/>
          <w:b/>
          <w:color w:val="auto"/>
          <w:sz w:val="44"/>
          <w:szCs w:val="44"/>
          <w:highlight w:val="none"/>
        </w:rPr>
      </w:pPr>
      <w:r>
        <w:rPr>
          <w:rFonts w:ascii="宋体" w:hAnsi="宋体"/>
          <w:b/>
          <w:color w:val="auto"/>
          <w:sz w:val="44"/>
          <w:szCs w:val="44"/>
          <w:highlight w:val="none"/>
        </w:rPr>
        <w:t>目      录</w:t>
      </w:r>
    </w:p>
    <w:p w14:paraId="21B3D41D">
      <w:pPr>
        <w:spacing w:line="360" w:lineRule="auto"/>
        <w:jc w:val="center"/>
        <w:rPr>
          <w:rFonts w:ascii="宋体" w:hAnsi="宋体"/>
          <w:b/>
          <w:color w:val="auto"/>
          <w:sz w:val="28"/>
          <w:szCs w:val="28"/>
          <w:highlight w:val="none"/>
        </w:rPr>
      </w:pPr>
    </w:p>
    <w:p w14:paraId="0224F076">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第一章  招标公告</w:t>
      </w:r>
    </w:p>
    <w:p w14:paraId="1944C42F">
      <w:pPr>
        <w:tabs>
          <w:tab w:val="left" w:pos="7740"/>
        </w:tabs>
        <w:spacing w:line="360" w:lineRule="auto"/>
        <w:rPr>
          <w:rFonts w:ascii="宋体" w:hAnsi="宋体"/>
          <w:b/>
          <w:color w:val="auto"/>
          <w:sz w:val="28"/>
          <w:szCs w:val="28"/>
          <w:highlight w:val="none"/>
        </w:rPr>
      </w:pPr>
    </w:p>
    <w:p w14:paraId="5764B9FE">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第二章  投标人须知</w:t>
      </w:r>
    </w:p>
    <w:p w14:paraId="1ADBFA8D">
      <w:pPr>
        <w:spacing w:line="360" w:lineRule="auto"/>
        <w:rPr>
          <w:rFonts w:ascii="宋体" w:hAnsi="宋体"/>
          <w:b/>
          <w:color w:val="auto"/>
          <w:sz w:val="28"/>
          <w:szCs w:val="28"/>
          <w:highlight w:val="none"/>
        </w:rPr>
      </w:pPr>
    </w:p>
    <w:p w14:paraId="465BA3A7">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第三章  项目需求</w:t>
      </w:r>
    </w:p>
    <w:p w14:paraId="4B12EACE">
      <w:pPr>
        <w:pStyle w:val="25"/>
        <w:tabs>
          <w:tab w:val="left" w:pos="7740"/>
          <w:tab w:val="left" w:pos="7920"/>
        </w:tabs>
        <w:spacing w:line="360" w:lineRule="auto"/>
        <w:ind w:left="0" w:leftChars="0"/>
        <w:rPr>
          <w:rFonts w:ascii="宋体" w:hAnsi="宋体"/>
          <w:b/>
          <w:color w:val="auto"/>
          <w:sz w:val="28"/>
          <w:szCs w:val="28"/>
          <w:highlight w:val="none"/>
        </w:rPr>
      </w:pPr>
    </w:p>
    <w:p w14:paraId="37D72964">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 xml:space="preserve">第四章  </w:t>
      </w:r>
      <w:r>
        <w:rPr>
          <w:rFonts w:ascii="宋体" w:hAnsi="宋体"/>
          <w:b/>
          <w:bCs/>
          <w:color w:val="auto"/>
          <w:sz w:val="28"/>
          <w:szCs w:val="28"/>
          <w:highlight w:val="none"/>
        </w:rPr>
        <w:t>评审方法和程序</w:t>
      </w:r>
    </w:p>
    <w:p w14:paraId="35F8BBE5">
      <w:pPr>
        <w:spacing w:line="360" w:lineRule="auto"/>
        <w:rPr>
          <w:rFonts w:ascii="宋体" w:hAnsi="宋体"/>
          <w:b/>
          <w:color w:val="auto"/>
          <w:sz w:val="28"/>
          <w:szCs w:val="28"/>
          <w:highlight w:val="none"/>
        </w:rPr>
      </w:pPr>
    </w:p>
    <w:p w14:paraId="5445B71C">
      <w:pPr>
        <w:tabs>
          <w:tab w:val="left" w:pos="7740"/>
        </w:tabs>
        <w:spacing w:line="360" w:lineRule="auto"/>
        <w:rPr>
          <w:rFonts w:ascii="宋体" w:hAnsi="宋体"/>
          <w:b/>
          <w:bCs/>
          <w:color w:val="auto"/>
          <w:sz w:val="28"/>
          <w:szCs w:val="28"/>
          <w:highlight w:val="none"/>
        </w:rPr>
      </w:pPr>
      <w:r>
        <w:rPr>
          <w:rFonts w:ascii="宋体" w:hAnsi="宋体"/>
          <w:b/>
          <w:bCs/>
          <w:color w:val="auto"/>
          <w:sz w:val="28"/>
          <w:szCs w:val="28"/>
          <w:highlight w:val="none"/>
        </w:rPr>
        <w:t xml:space="preserve">第五章  </w:t>
      </w:r>
      <w:r>
        <w:rPr>
          <w:rFonts w:hint="eastAsia" w:ascii="宋体" w:hAnsi="宋体"/>
          <w:b/>
          <w:bCs/>
          <w:color w:val="auto"/>
          <w:sz w:val="28"/>
          <w:szCs w:val="28"/>
          <w:highlight w:val="none"/>
        </w:rPr>
        <w:t>合同主要条款</w:t>
      </w:r>
    </w:p>
    <w:p w14:paraId="5662853E">
      <w:pPr>
        <w:tabs>
          <w:tab w:val="left" w:pos="7740"/>
        </w:tabs>
        <w:spacing w:line="360" w:lineRule="auto"/>
        <w:rPr>
          <w:rFonts w:ascii="宋体" w:hAnsi="宋体"/>
          <w:b/>
          <w:bCs/>
          <w:color w:val="auto"/>
          <w:sz w:val="28"/>
          <w:szCs w:val="28"/>
          <w:highlight w:val="none"/>
        </w:rPr>
      </w:pPr>
    </w:p>
    <w:p w14:paraId="5E3B5C4B">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第六章  合同授予</w:t>
      </w:r>
    </w:p>
    <w:p w14:paraId="4ADACA50">
      <w:pPr>
        <w:tabs>
          <w:tab w:val="left" w:pos="7740"/>
        </w:tabs>
        <w:spacing w:line="360" w:lineRule="auto"/>
        <w:rPr>
          <w:rFonts w:ascii="宋体" w:hAnsi="宋体"/>
          <w:b/>
          <w:bCs/>
          <w:color w:val="auto"/>
          <w:sz w:val="28"/>
          <w:szCs w:val="28"/>
          <w:highlight w:val="none"/>
        </w:rPr>
      </w:pPr>
    </w:p>
    <w:p w14:paraId="0865615D">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第七章</w:t>
      </w: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w:t>
      </w:r>
      <w:r>
        <w:rPr>
          <w:rFonts w:ascii="宋体" w:hAnsi="宋体"/>
          <w:b/>
          <w:bCs/>
          <w:color w:val="auto"/>
          <w:sz w:val="28"/>
          <w:szCs w:val="28"/>
          <w:highlight w:val="none"/>
        </w:rPr>
        <w:t>质疑提出和处理</w:t>
      </w:r>
    </w:p>
    <w:p w14:paraId="69F7F7FB">
      <w:pPr>
        <w:tabs>
          <w:tab w:val="left" w:pos="7740"/>
        </w:tabs>
        <w:spacing w:line="360" w:lineRule="auto"/>
        <w:rPr>
          <w:rFonts w:ascii="宋体" w:hAnsi="宋体"/>
          <w:b/>
          <w:color w:val="auto"/>
          <w:sz w:val="28"/>
          <w:szCs w:val="28"/>
          <w:highlight w:val="none"/>
        </w:rPr>
      </w:pPr>
    </w:p>
    <w:p w14:paraId="19AFB6D1">
      <w:pPr>
        <w:spacing w:line="360" w:lineRule="auto"/>
        <w:rPr>
          <w:rFonts w:ascii="宋体" w:hAnsi="宋体"/>
          <w:b/>
          <w:color w:val="auto"/>
          <w:sz w:val="28"/>
          <w:szCs w:val="28"/>
          <w:highlight w:val="none"/>
        </w:rPr>
      </w:pPr>
      <w:bookmarkStart w:id="3" w:name="_Hlk86587575"/>
      <w:r>
        <w:rPr>
          <w:rFonts w:ascii="宋体" w:hAnsi="宋体"/>
          <w:b/>
          <w:color w:val="auto"/>
          <w:sz w:val="28"/>
          <w:szCs w:val="28"/>
          <w:highlight w:val="none"/>
        </w:rPr>
        <w:t>第</w:t>
      </w:r>
      <w:r>
        <w:rPr>
          <w:rFonts w:hint="eastAsia" w:ascii="宋体" w:hAnsi="宋体"/>
          <w:b/>
          <w:color w:val="auto"/>
          <w:sz w:val="28"/>
          <w:szCs w:val="28"/>
          <w:highlight w:val="none"/>
        </w:rPr>
        <w:t>八</w:t>
      </w:r>
      <w:r>
        <w:rPr>
          <w:rFonts w:ascii="宋体" w:hAnsi="宋体"/>
          <w:b/>
          <w:color w:val="auto"/>
          <w:sz w:val="28"/>
          <w:szCs w:val="28"/>
          <w:highlight w:val="none"/>
        </w:rPr>
        <w:t>章</w:t>
      </w:r>
      <w:bookmarkEnd w:id="3"/>
      <w:r>
        <w:rPr>
          <w:rFonts w:ascii="宋体" w:hAnsi="宋体"/>
          <w:b/>
          <w:color w:val="auto"/>
          <w:sz w:val="28"/>
          <w:szCs w:val="28"/>
          <w:highlight w:val="none"/>
        </w:rPr>
        <w:t xml:space="preserve">  投标文件组成</w:t>
      </w:r>
    </w:p>
    <w:p w14:paraId="532F659E">
      <w:pPr>
        <w:spacing w:line="360" w:lineRule="auto"/>
        <w:rPr>
          <w:rFonts w:ascii="宋体" w:hAnsi="宋体"/>
          <w:color w:val="auto"/>
          <w:sz w:val="24"/>
          <w:highlight w:val="none"/>
        </w:rPr>
      </w:pPr>
    </w:p>
    <w:p w14:paraId="47391A31">
      <w:pPr>
        <w:snapToGrid w:val="0"/>
        <w:spacing w:line="360" w:lineRule="auto"/>
        <w:jc w:val="center"/>
        <w:rPr>
          <w:rStyle w:val="121"/>
          <w:rFonts w:hint="default"/>
          <w:color w:val="auto"/>
          <w:sz w:val="28"/>
          <w:szCs w:val="28"/>
          <w:highlight w:val="none"/>
        </w:rPr>
      </w:pPr>
      <w:r>
        <w:rPr>
          <w:rFonts w:ascii="宋体" w:hAnsi="宋体"/>
          <w:b/>
          <w:color w:val="auto"/>
          <w:sz w:val="24"/>
          <w:highlight w:val="none"/>
        </w:rPr>
        <w:br w:type="page"/>
      </w:r>
      <w:r>
        <w:rPr>
          <w:rStyle w:val="121"/>
          <w:rFonts w:hint="default"/>
          <w:color w:val="auto"/>
          <w:sz w:val="28"/>
          <w:szCs w:val="28"/>
          <w:highlight w:val="none"/>
        </w:rPr>
        <w:t xml:space="preserve">第一章  </w:t>
      </w:r>
      <w:bookmarkStart w:id="4" w:name="OLE_LINK3"/>
      <w:bookmarkStart w:id="5" w:name="OLE_LINK4"/>
      <w:bookmarkStart w:id="6" w:name="OLE_LINK2"/>
      <w:bookmarkStart w:id="7" w:name="OLE_LINK1"/>
      <w:bookmarkStart w:id="8" w:name="OLE_LINK5"/>
      <w:r>
        <w:rPr>
          <w:rStyle w:val="121"/>
          <w:rFonts w:hint="default"/>
          <w:color w:val="auto"/>
          <w:sz w:val="28"/>
          <w:szCs w:val="28"/>
          <w:highlight w:val="none"/>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0EC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4A16A7CC">
            <w:pPr>
              <w:widowControl/>
              <w:snapToGrid w:val="0"/>
              <w:spacing w:line="360" w:lineRule="auto"/>
              <w:jc w:val="left"/>
              <w:rPr>
                <w:rFonts w:ascii="宋体" w:hAnsi="宋体"/>
                <w:color w:val="auto"/>
                <w:sz w:val="24"/>
                <w:highlight w:val="none"/>
              </w:rPr>
            </w:pPr>
            <w:bookmarkStart w:id="9" w:name="OLE_LINK6"/>
            <w:r>
              <w:rPr>
                <w:rFonts w:ascii="宋体" w:hAnsi="宋体"/>
                <w:color w:val="auto"/>
                <w:sz w:val="24"/>
                <w:highlight w:val="none"/>
              </w:rPr>
              <w:t>项目概况</w:t>
            </w:r>
          </w:p>
          <w:p w14:paraId="523F8112">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hint="eastAsia" w:ascii="宋体" w:hAnsi="宋体"/>
                <w:color w:val="auto"/>
                <w:sz w:val="24"/>
                <w:highlight w:val="none"/>
                <w:u w:val="single"/>
                <w:lang w:eastAsia="zh-CN"/>
              </w:rPr>
              <w:t>南通市养老服务指导中心网络安全服务采购项目</w:t>
            </w:r>
            <w:r>
              <w:rPr>
                <w:rFonts w:ascii="宋体" w:hAnsi="宋体"/>
                <w:color w:val="auto"/>
                <w:sz w:val="24"/>
                <w:highlight w:val="none"/>
              </w:rPr>
              <w:t>的潜在供应商应在</w:t>
            </w:r>
            <w:r>
              <w:rPr>
                <w:rFonts w:hint="eastAsia" w:ascii="宋体" w:hAnsi="宋体"/>
                <w:color w:val="auto"/>
                <w:sz w:val="24"/>
                <w:highlight w:val="none"/>
                <w:u w:val="single"/>
              </w:rPr>
              <w:t>南通市民政局官网</w:t>
            </w:r>
            <w:r>
              <w:rPr>
                <w:rFonts w:ascii="宋体" w:hAnsi="宋体"/>
                <w:color w:val="auto"/>
                <w:sz w:val="24"/>
                <w:highlight w:val="none"/>
                <w:u w:val="single"/>
              </w:rPr>
              <w:t>本公告附件中</w:t>
            </w:r>
            <w:r>
              <w:rPr>
                <w:rFonts w:ascii="宋体" w:hAnsi="宋体"/>
                <w:color w:val="auto"/>
                <w:sz w:val="24"/>
                <w:highlight w:val="none"/>
              </w:rPr>
              <w:t>获取采购文件，并于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11</w:t>
            </w:r>
            <w:r>
              <w:rPr>
                <w:rFonts w:ascii="宋体" w:hAnsi="宋体"/>
                <w:color w:val="auto"/>
                <w:sz w:val="24"/>
                <w:highlight w:val="non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rPr>
              <w:t>分（北京时间）前提交响应文件。</w:t>
            </w:r>
          </w:p>
        </w:tc>
      </w:tr>
    </w:tbl>
    <w:p w14:paraId="0C31EBE6">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一、项目基本情况</w:t>
      </w:r>
    </w:p>
    <w:p w14:paraId="1E68C671">
      <w:pPr>
        <w:widowControl/>
        <w:snapToGrid w:val="0"/>
        <w:spacing w:line="440" w:lineRule="atLeast"/>
        <w:ind w:firstLine="480" w:firstLineChars="200"/>
        <w:jc w:val="left"/>
        <w:rPr>
          <w:rFonts w:hint="eastAsia" w:ascii="宋体" w:hAnsi="宋体"/>
          <w:color w:val="auto"/>
          <w:sz w:val="24"/>
          <w:highlight w:val="none"/>
          <w:u w:val="single"/>
          <w:lang w:eastAsia="zh-CN"/>
        </w:rPr>
      </w:pPr>
      <w:r>
        <w:rPr>
          <w:rFonts w:ascii="宋体" w:hAnsi="宋体"/>
          <w:color w:val="auto"/>
          <w:sz w:val="24"/>
          <w:highlight w:val="none"/>
        </w:rPr>
        <w:t>1、项目名称：</w:t>
      </w:r>
      <w:r>
        <w:rPr>
          <w:rFonts w:hint="eastAsia" w:ascii="宋体" w:hAnsi="宋体"/>
          <w:color w:val="auto"/>
          <w:sz w:val="24"/>
          <w:highlight w:val="none"/>
          <w:u w:val="none"/>
          <w:lang w:eastAsia="zh-CN"/>
        </w:rPr>
        <w:t>南通市养老服务指导中心网络安全服务采购项目</w:t>
      </w:r>
    </w:p>
    <w:p w14:paraId="0C6499AA">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2、预算金额：</w:t>
      </w:r>
      <w:r>
        <w:rPr>
          <w:rFonts w:hint="eastAsia" w:ascii="宋体" w:hAnsi="宋体"/>
          <w:color w:val="auto"/>
          <w:sz w:val="24"/>
          <w:highlight w:val="none"/>
          <w:lang w:val="en-US" w:eastAsia="zh-CN"/>
        </w:rPr>
        <w:t>5万</w:t>
      </w:r>
      <w:r>
        <w:rPr>
          <w:rFonts w:ascii="宋体" w:hAnsi="宋体"/>
          <w:color w:val="auto"/>
          <w:sz w:val="24"/>
          <w:highlight w:val="none"/>
        </w:rPr>
        <w:t>元</w:t>
      </w:r>
    </w:p>
    <w:p w14:paraId="0BFAF085">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3、最高限价：</w:t>
      </w:r>
      <w:r>
        <w:rPr>
          <w:rFonts w:hint="eastAsia" w:ascii="宋体" w:hAnsi="宋体"/>
          <w:color w:val="auto"/>
          <w:sz w:val="24"/>
          <w:highlight w:val="none"/>
          <w:lang w:val="en-US" w:eastAsia="zh-CN"/>
        </w:rPr>
        <w:t>5万</w:t>
      </w:r>
      <w:r>
        <w:rPr>
          <w:rFonts w:ascii="宋体" w:hAnsi="宋体"/>
          <w:color w:val="auto"/>
          <w:sz w:val="24"/>
          <w:highlight w:val="none"/>
        </w:rPr>
        <w:t>元，报价超过</w:t>
      </w:r>
      <w:r>
        <w:rPr>
          <w:rFonts w:hint="eastAsia" w:ascii="宋体" w:hAnsi="宋体"/>
          <w:color w:val="auto"/>
          <w:sz w:val="24"/>
          <w:highlight w:val="none"/>
        </w:rPr>
        <w:t>最高限价</w:t>
      </w:r>
      <w:r>
        <w:rPr>
          <w:rFonts w:ascii="宋体" w:hAnsi="宋体"/>
          <w:color w:val="auto"/>
          <w:sz w:val="24"/>
          <w:highlight w:val="none"/>
        </w:rPr>
        <w:t>的为无效响应文件。</w:t>
      </w:r>
    </w:p>
    <w:p w14:paraId="28820E8A">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、采购需求：详见第三章</w:t>
      </w:r>
    </w:p>
    <w:p w14:paraId="572D215A">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5、合同履行期限：</w:t>
      </w:r>
      <w:r>
        <w:rPr>
          <w:rFonts w:hint="eastAsia" w:ascii="宋体" w:hAnsi="宋体" w:cs="宋体"/>
          <w:color w:val="auto"/>
          <w:sz w:val="24"/>
          <w:highlight w:val="none"/>
        </w:rPr>
        <w:t>一年（从签订合同之日算起）</w:t>
      </w:r>
      <w:r>
        <w:rPr>
          <w:rFonts w:hint="eastAsia" w:ascii="宋体" w:hAnsi="宋体"/>
          <w:color w:val="auto"/>
          <w:sz w:val="24"/>
          <w:highlight w:val="none"/>
        </w:rPr>
        <w:t>。</w:t>
      </w:r>
    </w:p>
    <w:p w14:paraId="37D69EA6">
      <w:pPr>
        <w:pStyle w:val="60"/>
        <w:spacing w:line="440" w:lineRule="atLeast"/>
        <w:ind w:firstLine="480" w:firstLineChars="200"/>
        <w:rPr>
          <w:rFonts w:ascii="宋体" w:eastAsia="宋体"/>
          <w:bCs w:val="0"/>
          <w:color w:val="auto"/>
          <w:sz w:val="24"/>
          <w:highlight w:val="none"/>
        </w:rPr>
      </w:pPr>
      <w:r>
        <w:rPr>
          <w:rFonts w:hint="eastAsia" w:ascii="宋体" w:eastAsia="宋体"/>
          <w:bCs w:val="0"/>
          <w:color w:val="auto"/>
          <w:sz w:val="24"/>
          <w:highlight w:val="none"/>
        </w:rPr>
        <w:t>6、本项目不接受联合体投标。</w:t>
      </w:r>
    </w:p>
    <w:p w14:paraId="5EBF7667">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投标人</w:t>
      </w:r>
      <w:r>
        <w:rPr>
          <w:rFonts w:ascii="宋体" w:hAnsi="宋体"/>
          <w:b/>
          <w:color w:val="auto"/>
          <w:sz w:val="24"/>
          <w:highlight w:val="none"/>
        </w:rPr>
        <w:t>的资格要求：</w:t>
      </w:r>
    </w:p>
    <w:p w14:paraId="5DD2B1F0">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 xml:space="preserve">1、满足《中华人民共和国政府采购法》第二十二条规定； </w:t>
      </w:r>
    </w:p>
    <w:p w14:paraId="3384B939">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2、落实政府采购政策需满足的资格要求： / ；</w:t>
      </w:r>
    </w:p>
    <w:p w14:paraId="0E3F0DB4">
      <w:pPr>
        <w:snapToGrid w:val="0"/>
        <w:spacing w:line="440" w:lineRule="atLeast"/>
        <w:ind w:firstLine="480" w:firstLineChars="200"/>
        <w:rPr>
          <w:rFonts w:ascii="宋体" w:hAnsi="宋体" w:cs="宋体"/>
          <w:color w:val="auto"/>
          <w:sz w:val="24"/>
          <w:highlight w:val="none"/>
        </w:rPr>
      </w:pPr>
      <w:r>
        <w:rPr>
          <w:rFonts w:hint="eastAsia" w:ascii="宋体" w:hAnsi="宋体"/>
          <w:color w:val="auto"/>
          <w:sz w:val="24"/>
          <w:szCs w:val="21"/>
          <w:highlight w:val="none"/>
        </w:rPr>
        <w:t>3、本项目的特定资格要求：供应商应为中国境内合法</w:t>
      </w:r>
      <w:r>
        <w:rPr>
          <w:rFonts w:hint="eastAsia" w:ascii="宋体" w:hAnsi="宋体" w:cs="宋体"/>
          <w:color w:val="auto"/>
          <w:sz w:val="24"/>
          <w:highlight w:val="none"/>
        </w:rPr>
        <w:t>注册的独立法人单位（含企业法人与事业法人）或社会组织或其他组织；</w:t>
      </w:r>
    </w:p>
    <w:p w14:paraId="3F18D743">
      <w:pPr>
        <w:snapToGrid w:val="0"/>
        <w:spacing w:line="440" w:lineRule="atLeast"/>
        <w:ind w:firstLine="480" w:firstLineChars="200"/>
        <w:rPr>
          <w:rFonts w:ascii="宋体" w:hAnsi="宋体"/>
          <w:color w:val="auto"/>
          <w:sz w:val="24"/>
          <w:szCs w:val="21"/>
          <w:highlight w:val="none"/>
        </w:rPr>
      </w:pPr>
      <w:r>
        <w:rPr>
          <w:rFonts w:hint="eastAsia" w:ascii="宋体" w:hAnsi="宋体"/>
          <w:color w:val="auto"/>
          <w:sz w:val="24"/>
          <w:szCs w:val="21"/>
          <w:highlight w:val="none"/>
        </w:rPr>
        <w:t>4、</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信用中国</w:t>
      </w:r>
      <w:r>
        <w:rPr>
          <w:rFonts w:ascii="宋体" w:hAnsi="宋体"/>
          <w:color w:val="auto"/>
          <w:sz w:val="24"/>
          <w:szCs w:val="21"/>
          <w:highlight w:val="none"/>
        </w:rPr>
        <w:t>”</w:t>
      </w:r>
      <w:r>
        <w:rPr>
          <w:rFonts w:ascii="宋体" w:hAnsi="宋体"/>
          <w:color w:val="auto"/>
          <w:sz w:val="24"/>
          <w:szCs w:val="21"/>
          <w:highlight w:val="none"/>
          <w:lang w:val="zh-CN"/>
        </w:rPr>
        <w:t>网站</w:t>
      </w:r>
      <w:r>
        <w:rPr>
          <w:rFonts w:ascii="宋体" w:hAnsi="宋体"/>
          <w:color w:val="auto"/>
          <w:sz w:val="24"/>
          <w:szCs w:val="21"/>
          <w:highlight w:val="none"/>
        </w:rPr>
        <w:t xml:space="preserve">(www.creditchina.gov.cn) </w:t>
      </w:r>
      <w:r>
        <w:rPr>
          <w:rFonts w:ascii="宋体" w:hAnsi="宋体"/>
          <w:color w:val="auto"/>
          <w:sz w:val="24"/>
          <w:szCs w:val="21"/>
          <w:highlight w:val="none"/>
          <w:lang w:val="zh-CN"/>
        </w:rPr>
        <w:t>列入失信被执行人、重大税收违法案件当事人名单</w:t>
      </w:r>
      <w:r>
        <w:rPr>
          <w:rFonts w:ascii="宋体" w:hAnsi="宋体"/>
          <w:color w:val="auto"/>
          <w:sz w:val="24"/>
          <w:szCs w:val="21"/>
          <w:highlight w:val="none"/>
        </w:rPr>
        <w:t>，</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中国政府采购网</w:t>
      </w:r>
      <w:r>
        <w:rPr>
          <w:rFonts w:ascii="宋体" w:hAnsi="宋体"/>
          <w:color w:val="auto"/>
          <w:sz w:val="24"/>
          <w:szCs w:val="21"/>
          <w:highlight w:val="none"/>
        </w:rPr>
        <w:t>”（http://www.ccgp.gov.cn/）</w:t>
      </w:r>
      <w:r>
        <w:rPr>
          <w:rFonts w:ascii="宋体" w:hAnsi="宋体"/>
          <w:color w:val="auto"/>
          <w:sz w:val="24"/>
          <w:szCs w:val="21"/>
          <w:highlight w:val="none"/>
          <w:lang w:val="zh-CN"/>
        </w:rPr>
        <w:t>列入政府采购严重违法失信行为记录名单。</w:t>
      </w:r>
    </w:p>
    <w:p w14:paraId="2D36BB72">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5、</w:t>
      </w:r>
      <w:r>
        <w:rPr>
          <w:rFonts w:ascii="宋体" w:hAnsi="宋体"/>
          <w:color w:val="auto"/>
          <w:sz w:val="24"/>
          <w:szCs w:val="21"/>
          <w:highlight w:val="none"/>
          <w:lang w:val="zh-CN"/>
        </w:rPr>
        <w:t>法定代表人为同一个人的两个及两个以上法人，母公司、全资子公司及其控股公司，都不得在同一采购项目或同一标段中同时参加投标，一经发现，将视同围标处理。</w:t>
      </w:r>
    </w:p>
    <w:p w14:paraId="438826AF">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6、本项目的中标供应商不得将项目外包或转包。</w:t>
      </w:r>
    </w:p>
    <w:p w14:paraId="550C46BE">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三、获取招标文件</w:t>
      </w:r>
    </w:p>
    <w:p w14:paraId="1AC699E6">
      <w:pPr>
        <w:snapToGrid w:val="0"/>
        <w:spacing w:line="440" w:lineRule="atLeast"/>
        <w:ind w:firstLine="480" w:firstLineChars="200"/>
        <w:rPr>
          <w:rFonts w:ascii="宋体" w:hAnsi="宋体"/>
          <w:color w:val="auto"/>
          <w:sz w:val="24"/>
          <w:szCs w:val="21"/>
          <w:highlight w:val="none"/>
          <w:lang w:val="zh-CN"/>
        </w:rPr>
      </w:pPr>
      <w:r>
        <w:rPr>
          <w:rFonts w:ascii="宋体" w:hAnsi="宋体"/>
          <w:color w:val="auto"/>
          <w:sz w:val="24"/>
          <w:szCs w:val="21"/>
          <w:highlight w:val="none"/>
          <w:lang w:val="zh-CN"/>
        </w:rPr>
        <w:t>1、时间：</w:t>
      </w:r>
      <w:r>
        <w:rPr>
          <w:rFonts w:ascii="宋体" w:hAnsi="宋体"/>
          <w:color w:val="auto"/>
          <w:sz w:val="24"/>
          <w:szCs w:val="21"/>
          <w:highlight w:val="none"/>
          <w:u w:val="single"/>
          <w:lang w:val="zh-CN"/>
        </w:rPr>
        <w:t>自本招标公告发布之日起</w:t>
      </w:r>
      <w:r>
        <w:rPr>
          <w:rFonts w:ascii="宋体" w:hAnsi="宋体"/>
          <w:color w:val="auto"/>
          <w:sz w:val="24"/>
          <w:szCs w:val="21"/>
          <w:highlight w:val="none"/>
          <w:lang w:val="zh-CN"/>
        </w:rPr>
        <w:t>。</w:t>
      </w:r>
      <w:bookmarkStart w:id="10" w:name="_Toc387526173"/>
      <w:bookmarkStart w:id="11" w:name="_Toc387526369"/>
      <w:bookmarkStart w:id="12" w:name="_Toc387526277"/>
    </w:p>
    <w:p w14:paraId="6BE1BC97">
      <w:pPr>
        <w:snapToGrid w:val="0"/>
        <w:spacing w:line="440" w:lineRule="atLeast"/>
        <w:ind w:firstLine="480" w:firstLineChars="200"/>
        <w:rPr>
          <w:rFonts w:ascii="宋体" w:hAnsi="宋体"/>
          <w:color w:val="auto"/>
          <w:sz w:val="24"/>
          <w:szCs w:val="21"/>
          <w:highlight w:val="none"/>
          <w:u w:val="single"/>
          <w:lang w:val="zh-CN"/>
        </w:rPr>
      </w:pPr>
      <w:r>
        <w:rPr>
          <w:rFonts w:ascii="宋体" w:hAnsi="宋体"/>
          <w:color w:val="auto"/>
          <w:sz w:val="24"/>
          <w:szCs w:val="21"/>
          <w:highlight w:val="none"/>
          <w:lang w:val="zh-CN"/>
        </w:rPr>
        <w:t>2、方式：</w:t>
      </w:r>
      <w:r>
        <w:rPr>
          <w:rFonts w:ascii="宋体" w:hAnsi="宋体"/>
          <w:color w:val="auto"/>
          <w:sz w:val="24"/>
          <w:szCs w:val="21"/>
          <w:highlight w:val="none"/>
          <w:u w:val="single"/>
          <w:lang w:val="zh-CN"/>
        </w:rPr>
        <w:t>本项目资格审查采用资格后审方式，无报名环节，投标人直接从</w:t>
      </w:r>
      <w:r>
        <w:rPr>
          <w:rFonts w:hint="eastAsia" w:ascii="宋体" w:hAnsi="宋体"/>
          <w:color w:val="auto"/>
          <w:sz w:val="24"/>
          <w:highlight w:val="none"/>
          <w:u w:val="single"/>
          <w:lang w:eastAsia="zh-CN"/>
        </w:rPr>
        <w:t>南通市民政局</w:t>
      </w:r>
      <w:r>
        <w:rPr>
          <w:rFonts w:hint="eastAsia" w:ascii="宋体" w:hAnsi="宋体"/>
          <w:color w:val="auto"/>
          <w:sz w:val="24"/>
          <w:szCs w:val="21"/>
          <w:highlight w:val="none"/>
          <w:u w:val="single"/>
          <w:lang w:val="en-US" w:eastAsia="zh-CN"/>
        </w:rPr>
        <w:t>官网</w:t>
      </w:r>
      <w:r>
        <w:rPr>
          <w:rFonts w:ascii="宋体" w:hAnsi="宋体"/>
          <w:color w:val="auto"/>
          <w:sz w:val="24"/>
          <w:highlight w:val="none"/>
          <w:u w:val="single"/>
        </w:rPr>
        <w:t>本公告附件中</w:t>
      </w:r>
      <w:r>
        <w:rPr>
          <w:rFonts w:hint="eastAsia" w:ascii="宋体" w:hAnsi="宋体"/>
          <w:color w:val="auto"/>
          <w:sz w:val="24"/>
          <w:szCs w:val="21"/>
          <w:highlight w:val="none"/>
          <w:u w:val="single"/>
          <w:lang w:val="zh-CN"/>
        </w:rPr>
        <w:t>下载</w:t>
      </w:r>
      <w:r>
        <w:rPr>
          <w:rFonts w:ascii="宋体" w:hAnsi="宋体"/>
          <w:color w:val="auto"/>
          <w:sz w:val="24"/>
          <w:szCs w:val="21"/>
          <w:highlight w:val="none"/>
          <w:u w:val="single"/>
          <w:lang w:val="zh-CN"/>
        </w:rPr>
        <w:t>招标文件、澄清答疑等相关招标资料</w:t>
      </w:r>
      <w:r>
        <w:rPr>
          <w:rFonts w:hint="eastAsia" w:ascii="宋体" w:hAnsi="宋体"/>
          <w:color w:val="auto"/>
          <w:sz w:val="24"/>
          <w:szCs w:val="21"/>
          <w:highlight w:val="none"/>
          <w:u w:val="single"/>
          <w:lang w:val="zh-CN"/>
        </w:rPr>
        <w:t>。</w:t>
      </w:r>
    </w:p>
    <w:bookmarkEnd w:id="10"/>
    <w:bookmarkEnd w:id="11"/>
    <w:bookmarkEnd w:id="12"/>
    <w:p w14:paraId="38560484">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四、提交投标文件截止时间、开标时间和地点</w:t>
      </w:r>
    </w:p>
    <w:p w14:paraId="09F60011">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截止时间及开标时间：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ascii="宋体" w:hAnsi="宋体"/>
          <w:color w:val="auto"/>
          <w:sz w:val="24"/>
          <w:highlight w:val="none"/>
          <w:u w:val="single"/>
        </w:rPr>
        <w:t>年</w:t>
      </w:r>
      <w:r>
        <w:rPr>
          <w:rFonts w:hint="eastAsia" w:ascii="宋体" w:hAnsi="宋体"/>
          <w:color w:val="auto"/>
          <w:sz w:val="24"/>
          <w:highlight w:val="none"/>
          <w:u w:val="single"/>
          <w:lang w:val="en-US" w:eastAsia="zh-CN"/>
        </w:rPr>
        <w:t>10</w:t>
      </w:r>
      <w:r>
        <w:rPr>
          <w:rFonts w:ascii="宋体" w:hAnsi="宋体"/>
          <w:color w:val="auto"/>
          <w:sz w:val="24"/>
          <w:highlight w:val="none"/>
          <w:u w:val="single"/>
        </w:rPr>
        <w:t>月</w:t>
      </w:r>
      <w:r>
        <w:rPr>
          <w:rFonts w:hint="eastAsia" w:ascii="宋体" w:hAnsi="宋体"/>
          <w:color w:val="auto"/>
          <w:sz w:val="24"/>
          <w:highlight w:val="none"/>
          <w:u w:val="single"/>
          <w:lang w:val="en-US" w:eastAsia="zh-CN"/>
        </w:rPr>
        <w:t>11</w:t>
      </w:r>
      <w:r>
        <w:rPr>
          <w:rFonts w:ascii="宋体" w:hAnsi="宋体"/>
          <w:color w:val="auto"/>
          <w:sz w:val="24"/>
          <w:highlight w:val="none"/>
          <w:u w:val="singl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分</w:t>
      </w:r>
      <w:r>
        <w:rPr>
          <w:rFonts w:ascii="宋体" w:hAnsi="宋体"/>
          <w:color w:val="auto"/>
          <w:sz w:val="24"/>
          <w:highlight w:val="none"/>
        </w:rPr>
        <w:t>；</w:t>
      </w:r>
    </w:p>
    <w:p w14:paraId="636EF55A">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lang w:val="en-US" w:eastAsia="zh-CN"/>
        </w:rPr>
        <w:t>南通市崇川区养老院路8号D幢</w:t>
      </w:r>
      <w:r>
        <w:rPr>
          <w:rFonts w:hint="eastAsia" w:ascii="宋体" w:hAnsi="宋体"/>
          <w:b/>
          <w:bCs/>
          <w:color w:val="auto"/>
          <w:sz w:val="24"/>
          <w:highlight w:val="none"/>
          <w:u w:val="single"/>
        </w:rPr>
        <w:t>三楼会议室 。</w:t>
      </w:r>
      <w:bookmarkStart w:id="33" w:name="_GoBack"/>
      <w:bookmarkEnd w:id="33"/>
    </w:p>
    <w:p w14:paraId="252998E5">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投标人递交投标文件时，投标人的法定代表人（或其授权代理人）必须携带本人身份证件原件、法定代表人身份证明（或授权委托书）原件准时参加开标会议。否则，其投标文件不予受理。</w:t>
      </w:r>
    </w:p>
    <w:p w14:paraId="74822D61">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注：法定代表人身份证明（或授权委托书）不仅需要装订在投标文件中，还需要一份原件由法定代表人（或其授权代理人）在投标时随身携带，供递交投标文件时核验。</w:t>
      </w:r>
    </w:p>
    <w:p w14:paraId="2836E2A9">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五、公告期限</w:t>
      </w:r>
    </w:p>
    <w:p w14:paraId="04516522">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自本公告发布之日起</w:t>
      </w:r>
      <w:r>
        <w:rPr>
          <w:rFonts w:hint="eastAsia" w:ascii="宋体" w:hAnsi="宋体"/>
          <w:color w:val="auto"/>
          <w:sz w:val="24"/>
          <w:highlight w:val="none"/>
          <w:lang w:val="en-US" w:eastAsia="zh-CN"/>
        </w:rPr>
        <w:t>5</w:t>
      </w:r>
      <w:r>
        <w:rPr>
          <w:rFonts w:ascii="宋体" w:hAnsi="宋体"/>
          <w:color w:val="auto"/>
          <w:sz w:val="24"/>
          <w:highlight w:val="none"/>
        </w:rPr>
        <w:t>个工作日。</w:t>
      </w:r>
    </w:p>
    <w:p w14:paraId="76B76747">
      <w:pPr>
        <w:pStyle w:val="60"/>
        <w:spacing w:line="440" w:lineRule="atLeast"/>
        <w:ind w:firstLine="480" w:firstLineChars="200"/>
        <w:rPr>
          <w:rFonts w:ascii="宋体" w:eastAsia="宋体"/>
          <w:b/>
          <w:bCs w:val="0"/>
          <w:color w:val="auto"/>
          <w:sz w:val="24"/>
          <w:highlight w:val="none"/>
        </w:rPr>
      </w:pPr>
      <w:r>
        <w:rPr>
          <w:rFonts w:hint="eastAsia" w:ascii="宋体" w:eastAsia="宋体"/>
          <w:b/>
          <w:bCs w:val="0"/>
          <w:color w:val="auto"/>
          <w:sz w:val="24"/>
          <w:highlight w:val="none"/>
        </w:rPr>
        <w:t>六、其他补充事宜</w:t>
      </w:r>
    </w:p>
    <w:p w14:paraId="24338816">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本项目采用现场开标模式，投标人须在提交投标文件的截止时间前到达开标现场提交纸质投标文件。</w:t>
      </w:r>
    </w:p>
    <w:p w14:paraId="69AB8D75">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、凡对本次采购提出询问，请按以下方式联系。</w:t>
      </w:r>
    </w:p>
    <w:bookmarkEnd w:id="4"/>
    <w:bookmarkEnd w:id="5"/>
    <w:bookmarkEnd w:id="6"/>
    <w:bookmarkEnd w:id="7"/>
    <w:p w14:paraId="4FB158DA">
      <w:pPr>
        <w:widowControl/>
        <w:snapToGrid w:val="0"/>
        <w:spacing w:line="440" w:lineRule="atLeast"/>
        <w:ind w:firstLine="480" w:firstLineChars="200"/>
        <w:jc w:val="left"/>
        <w:rPr>
          <w:rFonts w:hint="eastAsia" w:ascii="宋体" w:hAnsi="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南通市养老服务指导中心</w:t>
      </w:r>
    </w:p>
    <w:p w14:paraId="11D2F46B">
      <w:pPr>
        <w:widowControl/>
        <w:snapToGrid w:val="0"/>
        <w:spacing w:line="440" w:lineRule="atLeas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rPr>
        <w:t>地址：</w:t>
      </w:r>
      <w:r>
        <w:rPr>
          <w:rFonts w:hint="eastAsia" w:ascii="宋体" w:hAnsi="宋体"/>
          <w:color w:val="auto"/>
          <w:sz w:val="24"/>
          <w:highlight w:val="none"/>
          <w:lang w:val="en-US" w:eastAsia="zh-CN"/>
        </w:rPr>
        <w:t>南通市崇川区养老院路8号</w:t>
      </w:r>
    </w:p>
    <w:p w14:paraId="1BCFE6B7">
      <w:pPr>
        <w:widowControl/>
        <w:snapToGrid w:val="0"/>
        <w:spacing w:line="440" w:lineRule="atLeas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项目联系人：常女士</w:t>
      </w:r>
    </w:p>
    <w:p w14:paraId="0116CF4C">
      <w:pPr>
        <w:widowControl/>
        <w:snapToGrid w:val="0"/>
        <w:spacing w:line="440" w:lineRule="atLeas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rPr>
        <w:t>联系电话： 0513-</w:t>
      </w:r>
      <w:r>
        <w:rPr>
          <w:rFonts w:hint="eastAsia" w:ascii="宋体" w:hAnsi="宋体"/>
          <w:color w:val="auto"/>
          <w:sz w:val="24"/>
          <w:highlight w:val="none"/>
          <w:lang w:val="en-US" w:eastAsia="zh-CN"/>
        </w:rPr>
        <w:t>85591100</w:t>
      </w:r>
    </w:p>
    <w:p w14:paraId="72DC639A">
      <w:pPr>
        <w:widowControl/>
        <w:snapToGrid w:val="0"/>
        <w:spacing w:line="440" w:lineRule="atLeast"/>
        <w:ind w:firstLine="480" w:firstLineChars="200"/>
        <w:jc w:val="left"/>
        <w:rPr>
          <w:rFonts w:hint="eastAsia" w:ascii="宋体" w:hAnsi="宋体"/>
          <w:color w:val="auto"/>
          <w:sz w:val="24"/>
          <w:highlight w:val="none"/>
          <w:lang w:val="en-US" w:eastAsia="zh-CN"/>
        </w:rPr>
      </w:pPr>
    </w:p>
    <w:p w14:paraId="1C4CCC96">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 xml:space="preserve">　　　　　　　        </w:t>
      </w:r>
    </w:p>
    <w:p w14:paraId="3E2A954C">
      <w:pPr>
        <w:pStyle w:val="60"/>
        <w:ind w:firstLine="280"/>
        <w:rPr>
          <w:rFonts w:ascii="宋体" w:eastAsia="宋体"/>
          <w:color w:val="auto"/>
          <w:highlight w:val="none"/>
        </w:rPr>
      </w:pPr>
    </w:p>
    <w:p w14:paraId="13E0C91A">
      <w:pPr>
        <w:pStyle w:val="60"/>
        <w:ind w:firstLine="0" w:firstLineChars="0"/>
        <w:jc w:val="center"/>
        <w:rPr>
          <w:rFonts w:ascii="宋体" w:eastAsia="宋体"/>
          <w:color w:val="auto"/>
          <w:kern w:val="0"/>
          <w:sz w:val="24"/>
          <w:highlight w:val="none"/>
        </w:rPr>
      </w:pPr>
      <w:r>
        <w:rPr>
          <w:rFonts w:ascii="宋体" w:eastAsia="宋体"/>
          <w:color w:val="auto"/>
          <w:highlight w:val="none"/>
        </w:rPr>
        <w:br w:type="page"/>
      </w:r>
      <w:bookmarkEnd w:id="8"/>
      <w:bookmarkEnd w:id="9"/>
      <w:bookmarkStart w:id="13" w:name="_Toc182848970"/>
      <w:r>
        <w:rPr>
          <w:rStyle w:val="121"/>
          <w:rFonts w:hint="default"/>
          <w:color w:val="auto"/>
          <w:sz w:val="28"/>
          <w:szCs w:val="28"/>
          <w:highlight w:val="none"/>
        </w:rPr>
        <w:t>第二章  投标人须知</w:t>
      </w:r>
      <w:bookmarkEnd w:id="13"/>
    </w:p>
    <w:p w14:paraId="123D1F39">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一、说明</w:t>
      </w:r>
    </w:p>
    <w:p w14:paraId="6E3138A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1、本招标文件仅适用于采购人组织的本次公开招标活动。</w:t>
      </w:r>
    </w:p>
    <w:p w14:paraId="2649F2DB">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2、公开招标活动及因本次招标产生的合同受中国法律制约和保护。</w:t>
      </w:r>
    </w:p>
    <w:p w14:paraId="02BEB98B">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3、招标文件的解释权属于采购人。</w:t>
      </w:r>
    </w:p>
    <w:p w14:paraId="14B4DB8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投标人在知道或应当知道本项目招标公告及招标文件中的所有内容：如内容或页码短缺、资格要求和技术参数出现倾向性或排他性等表述的，</w:t>
      </w:r>
      <w:r>
        <w:rPr>
          <w:rFonts w:hint="eastAsia" w:ascii="宋体" w:hAnsi="宋体" w:cs="宋体"/>
          <w:b/>
          <w:color w:val="auto"/>
          <w:sz w:val="24"/>
          <w:highlight w:val="none"/>
        </w:rPr>
        <w:t>应在本项目招标公告发布之日起的</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个工作日内提出询问或以书面实名制形式提出质疑</w:t>
      </w:r>
      <w:r>
        <w:rPr>
          <w:rFonts w:hint="eastAsia" w:ascii="宋体" w:hAnsi="宋体" w:cs="宋体"/>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color w:val="auto"/>
          <w:sz w:val="24"/>
          <w:highlight w:val="none"/>
        </w:rPr>
        <w:t>非书面形式的不作为日后质疑提出的依据。</w:t>
      </w:r>
    </w:p>
    <w:p w14:paraId="760014DE">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color w:val="auto"/>
          <w:sz w:val="24"/>
          <w:highlight w:val="none"/>
        </w:rPr>
        <w:t>与投标。</w:t>
      </w:r>
    </w:p>
    <w:p w14:paraId="558E81CA">
      <w:pPr>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二、招标文件的补充说明、澄清、修改、答疑</w:t>
      </w:r>
    </w:p>
    <w:p w14:paraId="20AA989D">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s="宋体"/>
          <w:color w:val="auto"/>
          <w:sz w:val="24"/>
          <w:highlight w:val="none"/>
        </w:rPr>
        <w:t>采购人有权对发出的招标文件进行必要的补充说明、澄清或修改。</w:t>
      </w:r>
    </w:p>
    <w:p w14:paraId="08566108">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2、招标文件的澄清、修改、补充等内容均以补充公告的形式发布，且以在</w:t>
      </w:r>
      <w:r>
        <w:rPr>
          <w:rFonts w:hint="eastAsia" w:ascii="宋体" w:hAnsi="宋体"/>
          <w:color w:val="auto"/>
          <w:sz w:val="24"/>
          <w:highlight w:val="none"/>
          <w:u w:val="single"/>
          <w:lang w:eastAsia="zh-CN"/>
        </w:rPr>
        <w:t>南通市民政局</w:t>
      </w:r>
      <w:r>
        <w:rPr>
          <w:rFonts w:hint="eastAsia" w:ascii="宋体" w:hAnsi="宋体"/>
          <w:color w:val="auto"/>
          <w:sz w:val="24"/>
          <w:szCs w:val="21"/>
          <w:highlight w:val="none"/>
          <w:u w:val="single"/>
          <w:lang w:val="en-US" w:eastAsia="zh-CN"/>
        </w:rPr>
        <w:t>官网</w:t>
      </w:r>
      <w:r>
        <w:rPr>
          <w:rFonts w:ascii="宋体" w:hAnsi="宋体"/>
          <w:color w:val="auto"/>
          <w:kern w:val="0"/>
          <w:sz w:val="24"/>
          <w:highlight w:val="none"/>
        </w:rPr>
        <w:t>发布的信息为准。</w:t>
      </w:r>
    </w:p>
    <w:p w14:paraId="6D2FA0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3、采购人对招标文件的补充说明、澄清或修改，将构成招标文件的一部分，对所有投标人具有约束力。</w:t>
      </w:r>
    </w:p>
    <w:p w14:paraId="16BB02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14:paraId="10F158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5、除非采购人以书面的形式对招标文件作出澄清、修改及补充，投标人对涉及招标文件的任何推论、理解和结论所造成的结果，均由投标人自负。</w:t>
      </w:r>
    </w:p>
    <w:p w14:paraId="10BAF1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6、采购人视情组织答疑会。如有产生答疑且对招标文件内容有修改，采购人将按照本须知有关规定，以补充通知（公告）的方式发出。</w:t>
      </w:r>
    </w:p>
    <w:p w14:paraId="1B81AA50">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三、投标项目涉及到的现场勘查</w:t>
      </w:r>
    </w:p>
    <w:p w14:paraId="7D3887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0ACCE6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2、采购人向投标人提供的有关现场的资料和数据，是采购人现有的并认为能使投标人可利用的资料。采购人对投标人由此而做出的推论、理解和结论概不负责。</w:t>
      </w:r>
    </w:p>
    <w:p w14:paraId="10F6D7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64B274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4、投标人不得因勘查现场使采购人承担有关的责任和蒙受损失。投标人应承担勘查现场的责任和风险。</w:t>
      </w:r>
    </w:p>
    <w:p w14:paraId="52442D3B">
      <w:pPr>
        <w:numPr>
          <w:ilvl w:val="0"/>
          <w:numId w:val="7"/>
        </w:num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投标文件的组成及装订</w:t>
      </w:r>
    </w:p>
    <w:p w14:paraId="32F9417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1、投标文件由：①资格审查文件、②商务技术标、③价格标共三部分组成。</w:t>
      </w:r>
    </w:p>
    <w:p w14:paraId="7DF59B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6EAB982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3、投标文件的“资格审查文件”、“商务技术标”、“价格标”各自装订成册。特别提示：“资格审查文件”和“商务技术标”中不得出现价格。</w:t>
      </w:r>
    </w:p>
    <w:p w14:paraId="296FC4C6">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五、投标文件的份数、签署</w:t>
      </w:r>
    </w:p>
    <w:p w14:paraId="4287BC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1、投标人应准备</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份完整的投标文件，其中正本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份，并标明“正本”或“副本”字样，若有差异，概以“正本”为准。</w:t>
      </w:r>
    </w:p>
    <w:p w14:paraId="334705A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2、投标文件分三册密封。第一册为“资格审查文件”，第二册为 “商务技术标”，第三册为 “价格标”，投标文件的第一册、第二册、第三册应分别密封，并在封袋上标明“资格审查文件”、“商务技术标”、“价格标”。</w:t>
      </w:r>
    </w:p>
    <w:p w14:paraId="3515E7AC">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、投标文件正本须按招标文件要求由法定代表人或被授权人签字或盖章并加盖投标人印章。副本可复印，但须加盖投标人印章。</w:t>
      </w:r>
    </w:p>
    <w:p w14:paraId="18257511">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、开标程序顺利进行后，所有投标文件都将作为档案保存，不论成交与否，均不退回（未拆封的除外）。</w:t>
      </w:r>
    </w:p>
    <w:p w14:paraId="79E1B174">
      <w:pPr>
        <w:snapToGrid w:val="0"/>
        <w:spacing w:line="360" w:lineRule="auto"/>
        <w:ind w:firstLine="470"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六、投标文件的密封及标记</w:t>
      </w:r>
    </w:p>
    <w:p w14:paraId="12840C4C">
      <w:pPr>
        <w:snapToGrid w:val="0"/>
        <w:spacing w:line="360" w:lineRule="auto"/>
        <w:ind w:firstLine="470" w:firstLineChars="196"/>
        <w:outlineLvl w:val="1"/>
        <w:rPr>
          <w:rFonts w:ascii="宋体" w:hAnsi="宋体"/>
          <w:color w:val="auto"/>
          <w:sz w:val="24"/>
          <w:highlight w:val="none"/>
        </w:rPr>
      </w:pPr>
      <w:r>
        <w:rPr>
          <w:rFonts w:hint="eastAsia" w:ascii="宋体" w:hAnsi="宋体"/>
          <w:b/>
          <w:color w:val="auto"/>
          <w:sz w:val="24"/>
          <w:highlight w:val="none"/>
        </w:rPr>
        <w:t>密封后，应在每一密封包的投标文件上明确标注投标项目名称、</w:t>
      </w:r>
      <w:r>
        <w:rPr>
          <w:rFonts w:hint="eastAsia" w:ascii="宋体" w:hAnsi="宋体"/>
          <w:b/>
          <w:color w:val="auto"/>
          <w:sz w:val="24"/>
          <w:highlight w:val="none"/>
          <w:lang w:eastAsia="zh-CN"/>
        </w:rPr>
        <w:t>投</w:t>
      </w:r>
      <w:r>
        <w:rPr>
          <w:rFonts w:hint="eastAsia" w:ascii="宋体" w:hAnsi="宋体" w:cs="宋体"/>
          <w:b/>
          <w:color w:val="auto"/>
          <w:sz w:val="24"/>
          <w:highlight w:val="none"/>
        </w:rPr>
        <w:t>标人名称</w:t>
      </w:r>
      <w:r>
        <w:rPr>
          <w:rFonts w:hint="eastAsia" w:ascii="宋体" w:hAnsi="宋体" w:cs="宋体"/>
          <w:color w:val="auto"/>
          <w:sz w:val="24"/>
          <w:highlight w:val="none"/>
        </w:rPr>
        <w:t>、</w:t>
      </w:r>
      <w:r>
        <w:rPr>
          <w:rFonts w:hint="eastAsia" w:ascii="宋体" w:hAnsi="宋体"/>
          <w:b/>
          <w:bCs/>
          <w:color w:val="auto"/>
          <w:sz w:val="24"/>
          <w:highlight w:val="none"/>
        </w:rPr>
        <w:t>同时加盖投标人公章</w:t>
      </w:r>
      <w:r>
        <w:rPr>
          <w:rFonts w:hint="eastAsia" w:ascii="宋体" w:hAnsi="宋体"/>
          <w:color w:val="auto"/>
          <w:sz w:val="24"/>
          <w:highlight w:val="none"/>
        </w:rPr>
        <w:t>。</w:t>
      </w:r>
    </w:p>
    <w:p w14:paraId="2E5A1A9D">
      <w:pPr>
        <w:snapToGrid w:val="0"/>
        <w:spacing w:line="360" w:lineRule="auto"/>
        <w:ind w:firstLine="470" w:firstLineChars="196"/>
        <w:outlineLvl w:val="1"/>
        <w:rPr>
          <w:rFonts w:ascii="宋体" w:hAnsi="宋体"/>
          <w:color w:val="auto"/>
          <w:sz w:val="24"/>
          <w:highlight w:val="none"/>
        </w:rPr>
      </w:pPr>
      <w:r>
        <w:rPr>
          <w:rFonts w:hint="eastAsia" w:ascii="宋体" w:hAnsi="宋体" w:cs="宋体"/>
          <w:b/>
          <w:bCs/>
          <w:color w:val="auto"/>
          <w:sz w:val="24"/>
          <w:highlight w:val="none"/>
        </w:rPr>
        <w:t>七、</w:t>
      </w:r>
      <w:r>
        <w:rPr>
          <w:rFonts w:hint="eastAsia" w:ascii="宋体" w:hAnsi="宋体"/>
          <w:b/>
          <w:color w:val="auto"/>
          <w:sz w:val="24"/>
          <w:highlight w:val="none"/>
        </w:rPr>
        <w:t>投标文件的有效期</w:t>
      </w:r>
    </w:p>
    <w:p w14:paraId="4B5E9F66">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1、从投标文件接收截止之日算起，90个“日历天”内投标书应保持有效。有效期短于这个规定期限的，投标将被拒绝。</w:t>
      </w:r>
    </w:p>
    <w:p w14:paraId="00DE74A3">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25A72A6D">
      <w:pPr>
        <w:snapToGrid w:val="0"/>
        <w:spacing w:line="360" w:lineRule="auto"/>
        <w:ind w:firstLine="494" w:firstLineChars="206"/>
        <w:outlineLvl w:val="1"/>
        <w:rPr>
          <w:rFonts w:ascii="宋体" w:hAnsi="宋体" w:cs="宋体"/>
          <w:b/>
          <w:bCs/>
          <w:color w:val="auto"/>
          <w:sz w:val="24"/>
          <w:highlight w:val="none"/>
        </w:rPr>
      </w:pPr>
      <w:r>
        <w:rPr>
          <w:rFonts w:hint="eastAsia" w:ascii="宋体" w:hAnsi="宋体" w:cs="宋体"/>
          <w:b/>
          <w:bCs/>
          <w:color w:val="auto"/>
          <w:sz w:val="24"/>
          <w:highlight w:val="none"/>
        </w:rPr>
        <w:t>八、投标报价</w:t>
      </w:r>
    </w:p>
    <w:p w14:paraId="6E3AC059">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1、本项目不接受任何有选择的报价。</w:t>
      </w:r>
    </w:p>
    <w:p w14:paraId="3E379270">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2、投标报价均以人民币为报价的币种。</w:t>
      </w:r>
    </w:p>
    <w:p w14:paraId="0ECE3799">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3、报价表必须加盖投标人公章且必须经法定代表人或被授权人签字或盖章。</w:t>
      </w:r>
    </w:p>
    <w:p w14:paraId="1C9BF535">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报价出现前后不一致的，按照下列规定修正：</w:t>
      </w:r>
    </w:p>
    <w:p w14:paraId="716FFE38">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（1）投标文件中开标一览表（</w:t>
      </w:r>
      <w:r>
        <w:rPr>
          <w:rFonts w:hint="eastAsia" w:ascii="宋体" w:hAnsi="宋体"/>
          <w:color w:val="auto"/>
          <w:sz w:val="24"/>
          <w:highlight w:val="none"/>
        </w:rPr>
        <w:t>报价表</w:t>
      </w:r>
      <w:r>
        <w:rPr>
          <w:rFonts w:ascii="宋体" w:hAnsi="宋体"/>
          <w:color w:val="auto"/>
          <w:sz w:val="24"/>
          <w:highlight w:val="none"/>
        </w:rPr>
        <w:t>）内容与投标文件中相应内容不一致的，以开标一览表（</w:t>
      </w:r>
      <w:r>
        <w:rPr>
          <w:rFonts w:hint="eastAsia" w:ascii="宋体" w:hAnsi="宋体"/>
          <w:color w:val="auto"/>
          <w:sz w:val="24"/>
          <w:highlight w:val="none"/>
        </w:rPr>
        <w:t>报价表</w:t>
      </w:r>
      <w:r>
        <w:rPr>
          <w:rFonts w:ascii="宋体" w:hAnsi="宋体"/>
          <w:color w:val="auto"/>
          <w:sz w:val="24"/>
          <w:highlight w:val="none"/>
        </w:rPr>
        <w:t>）为准；</w:t>
      </w:r>
    </w:p>
    <w:p w14:paraId="04A91278">
      <w:pPr>
        <w:snapToGrid w:val="0"/>
        <w:spacing w:line="360" w:lineRule="auto"/>
        <w:ind w:firstLine="470" w:firstLineChars="196"/>
        <w:rPr>
          <w:rFonts w:hint="eastAsia" w:ascii="宋体" w:hAnsi="宋体" w:eastAsia="宋体"/>
          <w:color w:val="auto"/>
          <w:sz w:val="24"/>
          <w:highlight w:val="none"/>
          <w:lang w:val="en-US" w:eastAsia="zh-CN"/>
        </w:rPr>
      </w:pPr>
      <w:r>
        <w:rPr>
          <w:rFonts w:ascii="宋体" w:hAnsi="宋体"/>
          <w:color w:val="auto"/>
          <w:sz w:val="24"/>
          <w:highlight w:val="none"/>
        </w:rPr>
        <w:t>（2）大写金额和小写金额不一致的，以大写金额为准</w:t>
      </w:r>
      <w:r>
        <w:rPr>
          <w:rFonts w:hint="eastAsia" w:ascii="宋体" w:hAnsi="宋体"/>
          <w:color w:val="auto"/>
          <w:sz w:val="24"/>
          <w:highlight w:val="none"/>
          <w:lang w:eastAsia="zh-CN"/>
        </w:rPr>
        <w:t>。</w:t>
      </w:r>
    </w:p>
    <w:p w14:paraId="16E89325">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同时出现两种以上不一致的，按照前款规定的顺序修正。修正后的报价应当由投标人的法定代表人或其授权的代表签字确认后产生约束力，投标人不确认的，其投标无效。</w:t>
      </w:r>
    </w:p>
    <w:p w14:paraId="392B79D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4、投标报价采用固定总价报价，投标报价</w:t>
      </w:r>
      <w:r>
        <w:rPr>
          <w:rFonts w:hint="eastAsia" w:ascii="宋体" w:hAnsi="宋体" w:cs="宋体"/>
          <w:color w:val="auto"/>
          <w:sz w:val="24"/>
          <w:highlight w:val="none"/>
        </w:rPr>
        <w:t>包含响应及完成本项目工作所需的一切费用。包含但不限于服务劳务、管理、培训、出具报告、有关部门备案、保险、售后服务、利润、税金、政策性文件规定及合同包含的所有风险、责任等各项应有费用。</w:t>
      </w:r>
    </w:p>
    <w:p w14:paraId="5D70E6E5">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、采购人设定投标最高限价为人民币</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万元</w:t>
      </w:r>
      <w:r>
        <w:rPr>
          <w:rFonts w:hint="eastAsia" w:ascii="宋体" w:hAnsi="宋体"/>
          <w:color w:val="auto"/>
          <w:sz w:val="24"/>
          <w:highlight w:val="none"/>
        </w:rPr>
        <w:t>。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59F6C2F6">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、投标人应无条件地服从采购人的总体协调安排，按照采购人的指令做好各项的沟通、协调及配合等工作，为此发生的一切相关费用，含在投标报价中，采购人不另支付。</w:t>
      </w:r>
    </w:p>
    <w:p w14:paraId="2F5B9EE6">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、一次报定的投标报价为中标价，同时，中标人的中标价在合同实施期间不因市场变化因素而变动。</w:t>
      </w:r>
    </w:p>
    <w:p w14:paraId="2AC4873C">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759CDF04">
      <w:pPr>
        <w:spacing w:line="360" w:lineRule="auto"/>
        <w:ind w:firstLine="480"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九、投标费用</w:t>
      </w:r>
    </w:p>
    <w:p w14:paraId="0F32E3FE">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投标人应承担其编制投标文件以及递交投标文件等参与本</w:t>
      </w:r>
      <w:r>
        <w:rPr>
          <w:rFonts w:hint="eastAsia" w:ascii="宋体" w:hAnsi="宋体" w:cs="宋体"/>
          <w:bCs/>
          <w:color w:val="auto"/>
          <w:sz w:val="24"/>
          <w:highlight w:val="none"/>
        </w:rPr>
        <w:t>项目</w:t>
      </w:r>
      <w:r>
        <w:rPr>
          <w:rFonts w:ascii="宋体" w:hAnsi="宋体" w:cs="宋体"/>
          <w:bCs/>
          <w:color w:val="auto"/>
          <w:sz w:val="24"/>
          <w:highlight w:val="none"/>
        </w:rPr>
        <w:t>投标所涉及的一切费用。无论投标结果如何，采购人对上述费用不负任何责任。</w:t>
      </w:r>
    </w:p>
    <w:p w14:paraId="002BB9A4">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十、投标文件递交时间及地址</w:t>
      </w:r>
    </w:p>
    <w:p w14:paraId="64479E0A">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投标人必须在规定的时间将投标文件送达指定地点，采购人拒绝接收在截止时间后递交的投标文件。</w:t>
      </w:r>
    </w:p>
    <w:p w14:paraId="76254E74">
      <w:pPr>
        <w:numPr>
          <w:ilvl w:val="0"/>
          <w:numId w:val="8"/>
        </w:numPr>
        <w:snapToGrid w:val="0"/>
        <w:spacing w:line="360" w:lineRule="auto"/>
        <w:ind w:firstLine="480" w:firstLineChars="200"/>
        <w:outlineLvl w:val="1"/>
        <w:rPr>
          <w:rFonts w:hint="eastAsia" w:ascii="宋体" w:hAnsi="宋体"/>
          <w:b/>
          <w:color w:val="auto"/>
          <w:sz w:val="24"/>
          <w:highlight w:val="none"/>
          <w:lang w:val="en-US" w:eastAsia="zh-CN"/>
        </w:rPr>
      </w:pPr>
      <w:r>
        <w:rPr>
          <w:rFonts w:ascii="宋体" w:hAnsi="宋体"/>
          <w:b/>
          <w:color w:val="auto"/>
          <w:sz w:val="24"/>
          <w:highlight w:val="none"/>
        </w:rPr>
        <w:t>投标保证金</w:t>
      </w:r>
      <w:r>
        <w:rPr>
          <w:rFonts w:hint="eastAsia" w:ascii="宋体" w:hAnsi="宋体"/>
          <w:b/>
          <w:color w:val="auto"/>
          <w:sz w:val="24"/>
          <w:highlight w:val="none"/>
        </w:rPr>
        <w:t>：不设投标保证金</w:t>
      </w:r>
      <w:r>
        <w:rPr>
          <w:rFonts w:hint="eastAsia" w:ascii="宋体" w:hAnsi="宋体"/>
          <w:b/>
          <w:color w:val="auto"/>
          <w:sz w:val="24"/>
          <w:highlight w:val="none"/>
          <w:lang w:eastAsia="zh-CN"/>
        </w:rPr>
        <w:t>。</w:t>
      </w:r>
    </w:p>
    <w:p w14:paraId="5B68C5D3">
      <w:pPr>
        <w:numPr>
          <w:ilvl w:val="0"/>
          <w:numId w:val="8"/>
        </w:numPr>
        <w:snapToGrid w:val="0"/>
        <w:spacing w:line="360" w:lineRule="auto"/>
        <w:ind w:left="0" w:leftChars="0" w:firstLine="480" w:firstLineChars="200"/>
        <w:outlineLvl w:val="1"/>
        <w:rPr>
          <w:rFonts w:hint="default" w:ascii="宋体" w:hAnsi="宋体"/>
          <w:b/>
          <w:color w:val="auto"/>
          <w:sz w:val="24"/>
          <w:highlight w:val="none"/>
          <w:lang w:val="en-US" w:eastAsia="zh-CN"/>
        </w:rPr>
      </w:pPr>
      <w:r>
        <w:rPr>
          <w:rFonts w:ascii="宋体" w:hAnsi="宋体"/>
          <w:b/>
          <w:color w:val="auto"/>
          <w:sz w:val="24"/>
          <w:highlight w:val="none"/>
        </w:rPr>
        <w:t>履约保证金</w:t>
      </w:r>
      <w:r>
        <w:rPr>
          <w:rFonts w:hint="eastAsia" w:ascii="宋体" w:hAnsi="宋体"/>
          <w:b/>
          <w:color w:val="auto"/>
          <w:sz w:val="24"/>
          <w:highlight w:val="none"/>
        </w:rPr>
        <w:t>：</w:t>
      </w:r>
      <w:r>
        <w:rPr>
          <w:rFonts w:hint="eastAsia" w:ascii="宋体" w:hAnsi="宋体"/>
          <w:b/>
          <w:color w:val="auto"/>
          <w:sz w:val="24"/>
          <w:highlight w:val="none"/>
          <w:lang w:val="en-US" w:eastAsia="zh-CN"/>
        </w:rPr>
        <w:t>本项目不设置。</w:t>
      </w:r>
    </w:p>
    <w:p w14:paraId="3D6E525E">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十三、对采购人的纪律要求</w:t>
      </w:r>
    </w:p>
    <w:p w14:paraId="1D644E5B">
      <w:pPr>
        <w:snapToGrid w:val="0"/>
        <w:spacing w:line="360" w:lineRule="auto"/>
        <w:ind w:firstLine="480" w:firstLineChars="200"/>
        <w:outlineLvl w:val="1"/>
        <w:rPr>
          <w:rFonts w:ascii="宋体" w:hAnsi="宋体"/>
          <w:bCs/>
          <w:color w:val="auto"/>
          <w:sz w:val="24"/>
          <w:highlight w:val="none"/>
        </w:rPr>
      </w:pPr>
      <w:r>
        <w:rPr>
          <w:rFonts w:hint="eastAsia" w:ascii="宋体" w:hAnsi="宋体"/>
          <w:color w:val="auto"/>
          <w:sz w:val="24"/>
          <w:highlight w:val="none"/>
        </w:rPr>
        <w:t>采购人</w:t>
      </w:r>
      <w:r>
        <w:rPr>
          <w:rFonts w:hint="eastAsia" w:ascii="宋体" w:hAnsi="宋体"/>
          <w:bCs/>
          <w:color w:val="auto"/>
          <w:sz w:val="24"/>
          <w:highlight w:val="none"/>
        </w:rPr>
        <w:t>不得泄漏招标活动中应当保密的情况和资料，不得与投标人串通损害国家利益、社会公共利益或者他人合法权益。</w:t>
      </w:r>
    </w:p>
    <w:p w14:paraId="50397D85">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十四、对投标人的纪律要求</w:t>
      </w:r>
    </w:p>
    <w:p w14:paraId="2E659138">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46BA4BAD">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十五、对评标委员会成员的纪律要求</w:t>
      </w:r>
    </w:p>
    <w:p w14:paraId="58869489">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25F57234">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十六、未尽事宜</w:t>
      </w:r>
    </w:p>
    <w:p w14:paraId="6527E465">
      <w:pPr>
        <w:snapToGrid w:val="0"/>
        <w:spacing w:line="360" w:lineRule="auto"/>
        <w:ind w:firstLine="480" w:firstLineChars="200"/>
        <w:outlineLvl w:val="1"/>
        <w:rPr>
          <w:rFonts w:ascii="宋体" w:hAnsi="宋体"/>
          <w:bCs/>
          <w:color w:val="auto"/>
          <w:sz w:val="24"/>
          <w:highlight w:val="none"/>
        </w:rPr>
      </w:pPr>
      <w:r>
        <w:rPr>
          <w:rFonts w:ascii="宋体" w:hAnsi="宋体"/>
          <w:bCs/>
          <w:color w:val="auto"/>
          <w:sz w:val="24"/>
          <w:highlight w:val="none"/>
        </w:rPr>
        <w:t>按《中华人民共和国政府采购法》及其他有关的法律法规</w:t>
      </w:r>
      <w:r>
        <w:rPr>
          <w:rFonts w:hint="eastAsia" w:ascii="宋体" w:hAnsi="宋体"/>
          <w:bCs/>
          <w:color w:val="auto"/>
          <w:sz w:val="24"/>
          <w:highlight w:val="none"/>
        </w:rPr>
        <w:t>规范性文件</w:t>
      </w:r>
      <w:r>
        <w:rPr>
          <w:rFonts w:ascii="宋体" w:hAnsi="宋体"/>
          <w:bCs/>
          <w:color w:val="auto"/>
          <w:sz w:val="24"/>
          <w:highlight w:val="none"/>
        </w:rPr>
        <w:t>执行。</w:t>
      </w:r>
    </w:p>
    <w:p w14:paraId="29921278">
      <w:pPr>
        <w:keepNext w:val="0"/>
        <w:keepLines w:val="0"/>
        <w:pageBreakBefore w:val="0"/>
        <w:kinsoku/>
        <w:wordWrap/>
        <w:overflowPunct/>
        <w:topLinePunct w:val="0"/>
        <w:autoSpaceDE/>
        <w:autoSpaceDN/>
        <w:bidi w:val="0"/>
        <w:snapToGrid w:val="0"/>
        <w:spacing w:line="460" w:lineRule="exact"/>
        <w:jc w:val="center"/>
        <w:textAlignment w:val="auto"/>
        <w:outlineLvl w:val="0"/>
        <w:rPr>
          <w:rStyle w:val="121"/>
          <w:rFonts w:hint="eastAsia" w:cs="Times New Roman"/>
          <w:bCs/>
          <w:color w:val="auto"/>
          <w:kern w:val="2"/>
          <w:sz w:val="28"/>
          <w:szCs w:val="28"/>
          <w:highlight w:val="none"/>
          <w:lang w:bidi="ar-SA"/>
        </w:rPr>
      </w:pPr>
      <w:r>
        <w:rPr>
          <w:rStyle w:val="121"/>
          <w:rFonts w:hint="default"/>
          <w:bCs/>
          <w:color w:val="auto"/>
          <w:sz w:val="28"/>
          <w:szCs w:val="28"/>
          <w:highlight w:val="none"/>
        </w:rPr>
        <w:br w:type="page"/>
      </w:r>
      <w:r>
        <w:rPr>
          <w:rStyle w:val="121"/>
          <w:rFonts w:hint="eastAsia" w:cs="Times New Roman"/>
          <w:bCs/>
          <w:color w:val="auto"/>
          <w:kern w:val="2"/>
          <w:sz w:val="28"/>
          <w:szCs w:val="28"/>
          <w:highlight w:val="none"/>
          <w:lang w:bidi="ar-SA"/>
        </w:rPr>
        <w:t>第三部分  项目需求</w:t>
      </w:r>
    </w:p>
    <w:p w14:paraId="08E828B6">
      <w:pPr>
        <w:pStyle w:val="111"/>
        <w:keepNext w:val="0"/>
        <w:keepLines w:val="0"/>
        <w:pageBreakBefore w:val="0"/>
        <w:widowControl w:val="0"/>
        <w:kinsoku/>
        <w:wordWrap/>
        <w:overflowPunct/>
        <w:topLinePunct w:val="0"/>
        <w:autoSpaceDE/>
        <w:autoSpaceDN/>
        <w:bidi w:val="0"/>
        <w:snapToGrid w:val="0"/>
        <w:spacing w:before="240" w:beforeLines="100" w:line="460" w:lineRule="exact"/>
        <w:ind w:firstLine="480" w:firstLineChars="200"/>
        <w:contextualSpacing/>
        <w:textAlignment w:val="auto"/>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zh-CN" w:eastAsia="zh-CN" w:bidi="ar-SA"/>
        </w:rPr>
        <w:t>请</w:t>
      </w:r>
      <w:r>
        <w:rPr>
          <w:rFonts w:hint="eastAsia" w:ascii="宋体" w:eastAsia="宋体" w:cs="Times New Roman"/>
          <w:bCs/>
          <w:color w:val="auto"/>
          <w:kern w:val="2"/>
          <w:sz w:val="24"/>
          <w:szCs w:val="24"/>
          <w:highlight w:val="none"/>
          <w:lang w:val="en-US" w:eastAsia="zh-CN" w:bidi="ar-SA"/>
        </w:rPr>
        <w:t>投标人</w:t>
      </w:r>
      <w:r>
        <w:rPr>
          <w:rFonts w:hint="eastAsia" w:ascii="宋体" w:hAnsi="宋体" w:eastAsia="宋体" w:cs="Times New Roman"/>
          <w:bCs/>
          <w:color w:val="auto"/>
          <w:kern w:val="2"/>
          <w:sz w:val="24"/>
          <w:szCs w:val="24"/>
          <w:highlight w:val="none"/>
          <w:lang w:val="zh-CN" w:eastAsia="zh-CN" w:bidi="ar-SA"/>
        </w:rPr>
        <w:t>在制作</w:t>
      </w:r>
      <w:r>
        <w:rPr>
          <w:rFonts w:hint="eastAsia" w:ascii="宋体" w:eastAsia="宋体" w:cs="Times New Roman"/>
          <w:bCs/>
          <w:color w:val="auto"/>
          <w:kern w:val="2"/>
          <w:sz w:val="24"/>
          <w:szCs w:val="24"/>
          <w:highlight w:val="none"/>
          <w:lang w:val="en-US" w:eastAsia="zh-CN" w:bidi="ar-SA"/>
        </w:rPr>
        <w:t>投标文件</w:t>
      </w:r>
      <w:r>
        <w:rPr>
          <w:rFonts w:hint="eastAsia" w:ascii="宋体" w:hAnsi="宋体" w:eastAsia="宋体" w:cs="Times New Roman"/>
          <w:bCs/>
          <w:color w:val="auto"/>
          <w:kern w:val="2"/>
          <w:sz w:val="24"/>
          <w:szCs w:val="24"/>
          <w:highlight w:val="none"/>
          <w:lang w:val="zh-CN" w:eastAsia="zh-CN" w:bidi="ar-SA"/>
        </w:rPr>
        <w:t>时仔细研究项目需求说明。</w:t>
      </w:r>
      <w:r>
        <w:rPr>
          <w:rFonts w:hint="eastAsia" w:ascii="宋体" w:eastAsia="宋体" w:cs="Times New Roman"/>
          <w:bCs/>
          <w:color w:val="auto"/>
          <w:kern w:val="2"/>
          <w:sz w:val="24"/>
          <w:szCs w:val="24"/>
          <w:highlight w:val="none"/>
          <w:lang w:val="en-US" w:eastAsia="zh-CN" w:bidi="ar-SA"/>
        </w:rPr>
        <w:t>投标人</w:t>
      </w:r>
      <w:r>
        <w:rPr>
          <w:rFonts w:hint="eastAsia" w:ascii="宋体" w:hAnsi="宋体" w:eastAsia="宋体" w:cs="Times New Roman"/>
          <w:bCs/>
          <w:color w:val="auto"/>
          <w:kern w:val="2"/>
          <w:sz w:val="24"/>
          <w:szCs w:val="24"/>
          <w:highlight w:val="none"/>
          <w:lang w:val="zh-CN" w:eastAsia="zh-CN" w:bidi="ar-SA"/>
        </w:rPr>
        <w:t>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14:paraId="6E109D53">
      <w:pPr>
        <w:keepNext w:val="0"/>
        <w:keepLines w:val="0"/>
        <w:pageBreakBefore w:val="0"/>
        <w:widowControl w:val="0"/>
        <w:numPr>
          <w:ilvl w:val="0"/>
          <w:numId w:val="9"/>
        </w:numPr>
        <w:kinsoku/>
        <w:wordWrap/>
        <w:overflowPunct/>
        <w:topLinePunct w:val="0"/>
        <w:autoSpaceDE w:val="0"/>
        <w:autoSpaceDN w:val="0"/>
        <w:bidi w:val="0"/>
        <w:adjustRightInd w:val="0"/>
        <w:snapToGrid w:val="0"/>
        <w:spacing w:line="460" w:lineRule="exact"/>
        <w:ind w:firstLine="480" w:firstLineChars="200"/>
        <w:contextualSpacing/>
        <w:jc w:val="left"/>
        <w:textAlignment w:val="auto"/>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服务需求清单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47"/>
        <w:gridCol w:w="5045"/>
        <w:gridCol w:w="2450"/>
      </w:tblGrid>
      <w:tr w14:paraId="054D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7867F459">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序号</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62A222E">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服务名称</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573319EF">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服务内容</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A90F6DB">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服务频率/交付</w:t>
            </w:r>
          </w:p>
        </w:tc>
      </w:tr>
      <w:tr w14:paraId="4901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79811526">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1</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DC23964">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漏洞扫描服务</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1D6A5ADF">
            <w:pPr>
              <w:pStyle w:val="56"/>
              <w:snapToGrid w:val="0"/>
              <w:spacing w:before="0" w:beforeAutospacing="0" w:after="0" w:afterAutospacing="0"/>
              <w:jc w:val="both"/>
              <w:rPr>
                <w:rFonts w:hint="eastAsia"/>
                <w:b w:val="0"/>
                <w:bCs/>
                <w:color w:val="auto"/>
                <w:highlight w:val="none"/>
              </w:rPr>
            </w:pPr>
            <w:r>
              <w:rPr>
                <w:rFonts w:hint="eastAsia"/>
                <w:b w:val="0"/>
                <w:bCs/>
                <w:color w:val="auto"/>
                <w:highlight w:val="none"/>
              </w:rPr>
              <w:t>1、对网络设备、安全设备、服务器以及业务应用系统进行漏洞扫描服务，并出具相关报告；</w:t>
            </w:r>
          </w:p>
          <w:p w14:paraId="14CECC82">
            <w:pPr>
              <w:pStyle w:val="56"/>
              <w:snapToGrid w:val="0"/>
              <w:spacing w:before="0" w:beforeAutospacing="0" w:after="0" w:afterAutospacing="0"/>
              <w:jc w:val="both"/>
              <w:rPr>
                <w:rFonts w:hint="default" w:ascii="宋体" w:hAnsi="宋体" w:eastAsia="宋体" w:cs="宋体"/>
                <w:color w:val="auto"/>
                <w:sz w:val="24"/>
                <w:highlight w:val="none"/>
                <w:lang w:val="en-US" w:eastAsia="zh-CN"/>
              </w:rPr>
            </w:pPr>
            <w:r>
              <w:rPr>
                <w:rFonts w:hint="eastAsia"/>
                <w:b w:val="0"/>
                <w:bCs/>
                <w:color w:val="auto"/>
                <w:highlight w:val="none"/>
              </w:rPr>
              <w:t>2、有新设备或新业务上线时，对业务及设备进行安全扫描检查，并提供结果报告</w:t>
            </w:r>
            <w:r>
              <w:rPr>
                <w:rFonts w:hint="eastAsia"/>
                <w:b w:val="0"/>
                <w:bCs/>
                <w:color w:val="auto"/>
                <w:highlight w:val="none"/>
                <w:lang w:eastAsia="zh-CN"/>
              </w:rPr>
              <w:t>，</w:t>
            </w:r>
            <w:r>
              <w:rPr>
                <w:rFonts w:hint="eastAsia"/>
                <w:b w:val="0"/>
                <w:bCs/>
                <w:color w:val="auto"/>
                <w:highlight w:val="none"/>
                <w:lang w:val="en-US" w:eastAsia="zh-CN"/>
              </w:rPr>
              <w:t>交付</w:t>
            </w:r>
            <w:r>
              <w:rPr>
                <w:rFonts w:hint="eastAsia" w:ascii="宋体" w:hAnsi="宋体" w:eastAsia="宋体" w:cs="Times New Roman"/>
                <w:bCs/>
                <w:color w:val="auto"/>
                <w:kern w:val="2"/>
                <w:sz w:val="24"/>
                <w:szCs w:val="24"/>
                <w:highlight w:val="none"/>
                <w:lang w:val="en-US" w:eastAsia="zh-CN" w:bidi="ar-SA"/>
              </w:rPr>
              <w:t>《漏洞扫描报告》</w:t>
            </w:r>
            <w:r>
              <w:rPr>
                <w:rFonts w:hint="eastAsia" w:cs="Times New Roman"/>
                <w:bCs/>
                <w:color w:val="auto"/>
                <w:kern w:val="2"/>
                <w:sz w:val="24"/>
                <w:szCs w:val="24"/>
                <w:highlight w:val="none"/>
                <w:lang w:val="en-US" w:eastAsia="zh-CN" w:bidi="ar-SA"/>
              </w:rPr>
              <w:t>。</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FA59B02">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w:t>
            </w:r>
            <w:r>
              <w:rPr>
                <w:rFonts w:hint="eastAsia"/>
                <w:b w:val="0"/>
                <w:bCs/>
                <w:color w:val="auto"/>
                <w:highlight w:val="none"/>
                <w:lang w:val="en-US" w:eastAsia="zh-CN"/>
              </w:rPr>
              <w:t>每季度</w:t>
            </w:r>
            <w:r>
              <w:rPr>
                <w:rFonts w:hint="eastAsia"/>
                <w:b w:val="0"/>
                <w:bCs/>
                <w:color w:val="auto"/>
                <w:highlight w:val="none"/>
              </w:rPr>
              <w:t>一次</w:t>
            </w:r>
          </w:p>
        </w:tc>
      </w:tr>
      <w:tr w14:paraId="3C71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567620FE">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2</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372FD31">
            <w:pPr>
              <w:pStyle w:val="56"/>
              <w:snapToGrid w:val="0"/>
              <w:spacing w:before="0" w:beforeAutospacing="0" w:after="0" w:afterAutospacing="0"/>
              <w:jc w:val="center"/>
              <w:rPr>
                <w:rFonts w:hint="default" w:ascii="宋体" w:hAnsi="宋体" w:eastAsia="宋体" w:cs="宋体"/>
                <w:color w:val="auto"/>
                <w:sz w:val="24"/>
                <w:highlight w:val="none"/>
                <w:lang w:val="en-US" w:eastAsia="zh-CN"/>
              </w:rPr>
            </w:pPr>
            <w:r>
              <w:rPr>
                <w:rFonts w:hint="eastAsia"/>
                <w:b/>
                <w:color w:val="auto"/>
                <w:highlight w:val="none"/>
                <w:lang w:val="en-US" w:eastAsia="zh-CN"/>
              </w:rPr>
              <w:t>安全培训及应急演练服务</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6FB384DC">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1、针对法律法规、网络安全相关知识进行专业培训。</w:t>
            </w:r>
          </w:p>
          <w:p w14:paraId="2B570BA9">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网络安全基本常识培训内容包括网络安全态势、网络安全事件、日常工作中需养成的安全习惯等。</w:t>
            </w:r>
          </w:p>
          <w:p w14:paraId="75CDD2AC">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网络安全法律法规培训重点围绕《网络安全法，结合具体案例开展。</w:t>
            </w:r>
          </w:p>
          <w:p w14:paraId="1FD550C5">
            <w:pPr>
              <w:pStyle w:val="56"/>
              <w:snapToGrid w:val="0"/>
              <w:spacing w:before="0" w:beforeAutospacing="0" w:after="0" w:afterAutospacing="0"/>
              <w:jc w:val="both"/>
              <w:rPr>
                <w:rFonts w:hint="default"/>
                <w:b w:val="0"/>
                <w:bCs/>
                <w:color w:val="auto"/>
                <w:highlight w:val="none"/>
                <w:lang w:val="en-US" w:eastAsia="zh-CN"/>
              </w:rPr>
            </w:pPr>
            <w:r>
              <w:rPr>
                <w:rFonts w:hint="eastAsia"/>
                <w:b w:val="0"/>
                <w:bCs/>
                <w:color w:val="auto"/>
                <w:highlight w:val="none"/>
                <w:lang w:val="en-US" w:eastAsia="zh-CN"/>
              </w:rPr>
              <w:t>2、开展一次网络安全应急演练，加强职工网络安全防范意识，最终交付《应急演练及培训总结报告》。</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55580F64">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合同期内一次</w:t>
            </w:r>
          </w:p>
        </w:tc>
      </w:tr>
      <w:tr w14:paraId="4346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2A35F326">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4480407">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渗透测试</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76B9A956">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1、采用各种手段模拟真实的安全攻击，从而发现黑客入侵信息系统的潜在可能途径。渗透测试工作以人工渗透为主，辅以攻击工具的使用。</w:t>
            </w:r>
          </w:p>
          <w:p w14:paraId="42DB5753">
            <w:pPr>
              <w:pStyle w:val="56"/>
              <w:snapToGrid w:val="0"/>
              <w:spacing w:before="0" w:beforeAutospacing="0" w:after="0" w:afterAutospacing="0"/>
              <w:jc w:val="both"/>
              <w:rPr>
                <w:rFonts w:hint="default" w:ascii="宋体" w:hAnsi="宋体" w:cs="宋体"/>
                <w:color w:val="auto"/>
                <w:sz w:val="24"/>
                <w:highlight w:val="none"/>
                <w:lang w:val="en-US"/>
              </w:rPr>
            </w:pPr>
            <w:r>
              <w:rPr>
                <w:rFonts w:hint="eastAsia"/>
                <w:b w:val="0"/>
                <w:bCs/>
                <w:color w:val="auto"/>
                <w:highlight w:val="none"/>
                <w:lang w:val="en-US" w:eastAsia="zh-CN"/>
              </w:rPr>
              <w:t>2、主要的渗透测试方法包括：信息收集、端口扫描、远程溢出、口令猜测、本地溢出、企业用户端攻击、中间人攻击、web脚本渗透、B/S或C/S应用程序测试、社会工程等，最终交付《渗透测试报告》。</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5B585AE0">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合同期内一次</w:t>
            </w:r>
          </w:p>
        </w:tc>
      </w:tr>
      <w:tr w14:paraId="41A0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1E6AAF01">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4</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D91BC05">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应急响应服务</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2B2F8EBF">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lang w:val="en-US" w:eastAsia="zh-CN"/>
              </w:rPr>
              <w:t>当单位发生黑客入侵、系统崩溃或其它影响业务正常运行的安全事件时，需第一时间对安全事件进行应急响应处理，给出相应的解决方案，并在48小时内形成《应急响应服务报告》。</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17091F35">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合同期内按需</w:t>
            </w:r>
          </w:p>
        </w:tc>
      </w:tr>
      <w:tr w14:paraId="6C8D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4A9FB15">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5</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CCA62D3">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网站主机安全管理服务</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51FAACBB">
            <w:pPr>
              <w:pStyle w:val="56"/>
              <w:snapToGrid w:val="0"/>
              <w:spacing w:before="0" w:beforeAutospacing="0" w:after="0" w:afterAutospacing="0"/>
              <w:jc w:val="both"/>
              <w:rPr>
                <w:rFonts w:hint="default" w:ascii="宋体" w:hAnsi="宋体" w:cs="宋体"/>
                <w:color w:val="auto"/>
                <w:sz w:val="24"/>
                <w:highlight w:val="none"/>
                <w:lang w:val="en-US" w:eastAsia="zh-CN"/>
              </w:rPr>
            </w:pPr>
            <w:r>
              <w:rPr>
                <w:rFonts w:hint="eastAsia"/>
                <w:b w:val="0"/>
                <w:bCs/>
                <w:color w:val="auto"/>
                <w:highlight w:val="none"/>
                <w:lang w:val="en-US" w:eastAsia="zh-CN"/>
              </w:rPr>
              <w:t>对网站</w:t>
            </w:r>
            <w:r>
              <w:rPr>
                <w:rFonts w:hint="eastAsia"/>
                <w:b w:val="0"/>
                <w:bCs/>
                <w:color w:val="auto"/>
                <w:highlight w:val="none"/>
              </w:rPr>
              <w:t>服务器</w:t>
            </w:r>
            <w:r>
              <w:rPr>
                <w:rFonts w:hint="eastAsia"/>
                <w:b w:val="0"/>
                <w:bCs/>
                <w:color w:val="auto"/>
                <w:highlight w:val="none"/>
                <w:lang w:val="en-US" w:eastAsia="zh-CN"/>
              </w:rPr>
              <w:t>进行</w:t>
            </w:r>
            <w:r>
              <w:rPr>
                <w:rFonts w:hint="eastAsia"/>
                <w:b w:val="0"/>
                <w:bCs/>
                <w:color w:val="auto"/>
                <w:highlight w:val="none"/>
              </w:rPr>
              <w:t>安全加固、网络流量监控与分析、用户行为分析、应用控制、带宽管理</w:t>
            </w:r>
            <w:r>
              <w:rPr>
                <w:rFonts w:hint="eastAsia"/>
                <w:b w:val="0"/>
                <w:bCs/>
                <w:color w:val="auto"/>
                <w:highlight w:val="none"/>
                <w:lang w:eastAsia="zh-CN"/>
              </w:rPr>
              <w:t>、</w:t>
            </w:r>
            <w:r>
              <w:rPr>
                <w:rFonts w:hint="eastAsia"/>
                <w:b w:val="0"/>
                <w:bCs/>
                <w:color w:val="auto"/>
                <w:highlight w:val="none"/>
                <w:lang w:val="en-US" w:eastAsia="zh-CN"/>
              </w:rPr>
              <w:t>网络防篡改、防端口扫描、杀毒</w:t>
            </w:r>
            <w:r>
              <w:rPr>
                <w:rFonts w:hint="eastAsia"/>
                <w:b w:val="0"/>
                <w:bCs/>
                <w:color w:val="auto"/>
                <w:highlight w:val="none"/>
              </w:rPr>
              <w:t>等</w:t>
            </w:r>
            <w:r>
              <w:rPr>
                <w:rFonts w:hint="eastAsia"/>
                <w:b w:val="0"/>
                <w:bCs/>
                <w:color w:val="auto"/>
                <w:highlight w:val="none"/>
                <w:lang w:eastAsia="zh-CN"/>
              </w:rPr>
              <w:t>，</w:t>
            </w:r>
            <w:r>
              <w:rPr>
                <w:rFonts w:hint="eastAsia"/>
                <w:b w:val="0"/>
                <w:bCs/>
                <w:color w:val="auto"/>
                <w:highlight w:val="none"/>
                <w:lang w:val="en-US" w:eastAsia="zh-CN"/>
              </w:rPr>
              <w:t>全方位保证网站的安全。</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900C952">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val="0"/>
                <w:bCs/>
                <w:color w:val="auto"/>
                <w:highlight w:val="none"/>
                <w:lang w:val="en-US" w:eastAsia="zh-CN"/>
              </w:rPr>
              <w:t>合同期内一年</w:t>
            </w:r>
          </w:p>
        </w:tc>
      </w:tr>
      <w:tr w14:paraId="05CF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5EB4030B">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6</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EE24515">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巡检服务</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3A57F740">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1、制定全年的安全巡检计划，内容包括巡检目标和范围、内容规划、巡检时间表和频率、巡检人员和职责、响应机制、记录和报告、审查和改进。</w:t>
            </w:r>
          </w:p>
          <w:p w14:paraId="2742B94F">
            <w:pPr>
              <w:pStyle w:val="56"/>
              <w:snapToGrid w:val="0"/>
              <w:spacing w:before="0" w:beforeAutospacing="0" w:after="0" w:afterAutospacing="0"/>
              <w:jc w:val="both"/>
              <w:rPr>
                <w:rFonts w:hint="default" w:ascii="宋体" w:hAnsi="宋体" w:cs="宋体"/>
                <w:color w:val="auto"/>
                <w:sz w:val="24"/>
                <w:highlight w:val="none"/>
                <w:lang w:val="en-US"/>
              </w:rPr>
            </w:pPr>
            <w:r>
              <w:rPr>
                <w:rFonts w:hint="eastAsia"/>
                <w:b w:val="0"/>
                <w:bCs/>
                <w:color w:val="auto"/>
                <w:highlight w:val="none"/>
                <w:lang w:val="en-US" w:eastAsia="zh-CN"/>
              </w:rPr>
              <w:t>2、巡检内容主要包括系统和应用安全、网络安全、数据和备份安全、物理安全、安全策略和程序、安全事件响应，从六大维度全面检查单位的网络状态，保障单位的网络安全，最终交付《巡检报告》。</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C02032A">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每季度一次</w:t>
            </w:r>
          </w:p>
        </w:tc>
      </w:tr>
      <w:tr w14:paraId="3492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41A09A0">
            <w:pPr>
              <w:pStyle w:val="56"/>
              <w:snapToGrid w:val="0"/>
              <w:spacing w:before="0" w:beforeAutospacing="0" w:after="0" w:afterAutospacing="0"/>
              <w:jc w:val="center"/>
              <w:rPr>
                <w:rFonts w:hint="default"/>
                <w:b/>
                <w:color w:val="auto"/>
                <w:highlight w:val="none"/>
                <w:lang w:val="en-US" w:eastAsia="zh-CN"/>
              </w:rPr>
            </w:pPr>
            <w:bookmarkStart w:id="14" w:name="_Toc97126893"/>
            <w:r>
              <w:rPr>
                <w:rFonts w:hint="eastAsia"/>
                <w:b/>
                <w:color w:val="auto"/>
                <w:highlight w:val="none"/>
                <w:lang w:val="en-US" w:eastAsia="zh-CN"/>
              </w:rPr>
              <w:t>7</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0731E">
            <w:pPr>
              <w:pStyle w:val="56"/>
              <w:snapToGrid w:val="0"/>
              <w:spacing w:before="0" w:beforeAutospacing="0" w:after="0" w:afterAutospacing="0"/>
              <w:jc w:val="center"/>
              <w:rPr>
                <w:rFonts w:hint="eastAsia"/>
                <w:b/>
                <w:color w:val="auto"/>
                <w:highlight w:val="none"/>
                <w:lang w:val="en-US" w:eastAsia="zh-CN"/>
              </w:rPr>
            </w:pPr>
            <w:r>
              <w:rPr>
                <w:rFonts w:hint="eastAsia"/>
                <w:b/>
                <w:color w:val="auto"/>
                <w:highlight w:val="none"/>
                <w:lang w:val="en-US" w:eastAsia="zh-CN"/>
              </w:rPr>
              <w:t>安全咨询服务</w:t>
            </w:r>
          </w:p>
        </w:tc>
        <w:tc>
          <w:tcPr>
            <w:tcW w:w="5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1604DE">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网络安全咨询服务包括：</w:t>
            </w:r>
          </w:p>
          <w:p w14:paraId="77E89B8C">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w:t>
            </w:r>
            <w:r>
              <w:rPr>
                <w:rFonts w:hint="default"/>
                <w:b w:val="0"/>
                <w:bCs/>
                <w:color w:val="auto"/>
                <w:highlight w:val="none"/>
                <w:lang w:val="en-US" w:eastAsia="zh-CN"/>
              </w:rPr>
              <w:t>合规性咨询</w:t>
            </w:r>
            <w:r>
              <w:rPr>
                <w:rFonts w:hint="eastAsia"/>
                <w:b w:val="0"/>
                <w:bCs/>
                <w:color w:val="auto"/>
                <w:highlight w:val="none"/>
                <w:lang w:val="en-US" w:eastAsia="zh-CN"/>
              </w:rPr>
              <w:t>：帮助单位理解和实施国家信息安全保护的等级要求，确保符合相关法律法规。</w:t>
            </w:r>
          </w:p>
          <w:p w14:paraId="768EEED5">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2）</w:t>
            </w:r>
            <w:r>
              <w:rPr>
                <w:rFonts w:hint="default"/>
                <w:b w:val="0"/>
                <w:bCs/>
                <w:color w:val="auto"/>
                <w:highlight w:val="none"/>
                <w:lang w:val="en-US" w:eastAsia="zh-CN"/>
              </w:rPr>
              <w:t>风险</w:t>
            </w:r>
            <w:r>
              <w:rPr>
                <w:rFonts w:hint="eastAsia"/>
                <w:b w:val="0"/>
                <w:bCs/>
                <w:color w:val="auto"/>
                <w:highlight w:val="none"/>
                <w:lang w:val="en-US" w:eastAsia="zh-CN"/>
              </w:rPr>
              <w:t>咨询：为单位提供针对性的风险应对策略和措施，以降低潜在风险的影响。</w:t>
            </w:r>
          </w:p>
          <w:p w14:paraId="69FB2027">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3）</w:t>
            </w:r>
            <w:r>
              <w:rPr>
                <w:rFonts w:hint="default"/>
                <w:b w:val="0"/>
                <w:bCs/>
                <w:color w:val="auto"/>
                <w:highlight w:val="none"/>
                <w:lang w:val="en-US" w:eastAsia="zh-CN"/>
              </w:rPr>
              <w:t>安全架构设计</w:t>
            </w:r>
            <w:r>
              <w:rPr>
                <w:rFonts w:hint="eastAsia"/>
                <w:b w:val="0"/>
                <w:bCs/>
                <w:color w:val="auto"/>
                <w:highlight w:val="none"/>
                <w:lang w:val="en-US" w:eastAsia="zh-CN"/>
              </w:rPr>
              <w:t>咨询：根据业务需求和安全战略，设计全面的网络安全架构，确保技术和应用层面的安全性，支持整体安全架构的实现。</w:t>
            </w:r>
          </w:p>
          <w:p w14:paraId="15EE736F">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4）</w:t>
            </w:r>
            <w:r>
              <w:rPr>
                <w:rFonts w:hint="default"/>
                <w:b w:val="0"/>
                <w:bCs/>
                <w:color w:val="auto"/>
                <w:highlight w:val="none"/>
                <w:lang w:val="en-US" w:eastAsia="zh-CN"/>
              </w:rPr>
              <w:t>安全策略制定</w:t>
            </w:r>
            <w:r>
              <w:rPr>
                <w:rFonts w:hint="eastAsia"/>
                <w:b w:val="0"/>
                <w:bCs/>
                <w:color w:val="auto"/>
                <w:highlight w:val="none"/>
                <w:lang w:val="en-US" w:eastAsia="zh-CN"/>
              </w:rPr>
              <w:t>咨询：帮助单位建立或优化安全政策和流程，提高整体安全管理水平。</w:t>
            </w:r>
          </w:p>
          <w:p w14:paraId="12C2087C">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5)日常网络问题咨询：任何涉及到网络安全的问题均可咨询。</w:t>
            </w:r>
          </w:p>
          <w:p w14:paraId="412C69A0">
            <w:pPr>
              <w:pStyle w:val="56"/>
              <w:snapToGrid w:val="0"/>
              <w:spacing w:before="0" w:beforeAutospacing="0" w:after="0" w:afterAutospacing="0"/>
              <w:jc w:val="both"/>
              <w:rPr>
                <w:rFonts w:hint="default"/>
                <w:b w:val="0"/>
                <w:bCs/>
                <w:color w:val="auto"/>
                <w:highlight w:val="none"/>
                <w:lang w:val="en-US" w:eastAsia="zh-CN"/>
              </w:rPr>
            </w:pPr>
            <w:r>
              <w:rPr>
                <w:rFonts w:hint="eastAsia"/>
                <w:b w:val="0"/>
                <w:bCs/>
                <w:color w:val="auto"/>
                <w:highlight w:val="none"/>
                <w:lang w:val="en-US" w:eastAsia="zh-CN"/>
              </w:rPr>
              <w:t>无需出具报告。</w:t>
            </w:r>
          </w:p>
        </w:tc>
        <w:tc>
          <w:tcPr>
            <w:tcW w:w="2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55451C">
            <w:pPr>
              <w:pStyle w:val="56"/>
              <w:snapToGrid w:val="0"/>
              <w:spacing w:before="0" w:beforeAutospacing="0" w:after="0" w:afterAutospacing="0"/>
              <w:jc w:val="center"/>
              <w:rPr>
                <w:rFonts w:hint="eastAsia"/>
                <w:b w:val="0"/>
                <w:bCs/>
                <w:color w:val="auto"/>
                <w:highlight w:val="none"/>
                <w:lang w:val="en-US" w:eastAsia="zh-CN"/>
              </w:rPr>
            </w:pPr>
            <w:r>
              <w:rPr>
                <w:rFonts w:hint="eastAsia"/>
                <w:b w:val="0"/>
                <w:bCs/>
                <w:color w:val="auto"/>
                <w:highlight w:val="none"/>
                <w:lang w:val="en-US" w:eastAsia="zh-CN"/>
              </w:rPr>
              <w:t>合同期内按需</w:t>
            </w:r>
          </w:p>
        </w:tc>
      </w:tr>
      <w:tr w14:paraId="73AB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582D0884">
            <w:pPr>
              <w:pStyle w:val="56"/>
              <w:snapToGrid w:val="0"/>
              <w:spacing w:before="0" w:beforeAutospacing="0" w:after="0" w:afterAutospacing="0"/>
              <w:jc w:val="center"/>
              <w:rPr>
                <w:rFonts w:hint="default"/>
                <w:b/>
                <w:color w:val="auto"/>
                <w:highlight w:val="none"/>
                <w:lang w:val="en-US" w:eastAsia="zh-CN"/>
              </w:rPr>
            </w:pPr>
            <w:r>
              <w:rPr>
                <w:rFonts w:hint="eastAsia"/>
                <w:b/>
                <w:color w:val="auto"/>
                <w:highlight w:val="none"/>
                <w:lang w:val="en-US" w:eastAsia="zh-CN"/>
              </w:rPr>
              <w:t>8</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9CD132">
            <w:pPr>
              <w:pStyle w:val="56"/>
              <w:snapToGrid w:val="0"/>
              <w:spacing w:before="0" w:beforeAutospacing="0" w:after="0" w:afterAutospacing="0"/>
              <w:jc w:val="center"/>
              <w:rPr>
                <w:rFonts w:hint="default"/>
                <w:b/>
                <w:color w:val="auto"/>
                <w:highlight w:val="none"/>
                <w:lang w:val="en-US" w:eastAsia="zh-CN"/>
              </w:rPr>
            </w:pPr>
            <w:r>
              <w:rPr>
                <w:rFonts w:hint="eastAsia"/>
                <w:b/>
                <w:color w:val="auto"/>
                <w:highlight w:val="none"/>
                <w:lang w:val="en-US" w:eastAsia="zh-CN"/>
              </w:rPr>
              <w:t>安全加固服务</w:t>
            </w:r>
          </w:p>
        </w:tc>
        <w:tc>
          <w:tcPr>
            <w:tcW w:w="5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515659">
            <w:pPr>
              <w:pStyle w:val="56"/>
              <w:numPr>
                <w:ilvl w:val="0"/>
                <w:numId w:val="10"/>
              </w:numPr>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针对日常安全检查、漏洞扫描等安全评估过程中发现的各种安全隐患，进行安全加固和优化；</w:t>
            </w:r>
          </w:p>
          <w:p w14:paraId="0C0BB1D8">
            <w:pPr>
              <w:pStyle w:val="56"/>
              <w:numPr>
                <w:ilvl w:val="0"/>
                <w:numId w:val="10"/>
              </w:numPr>
              <w:snapToGrid w:val="0"/>
              <w:spacing w:before="0" w:beforeAutospacing="0" w:after="0" w:afterAutospacing="0"/>
              <w:jc w:val="both"/>
              <w:rPr>
                <w:rFonts w:hint="default"/>
                <w:b w:val="0"/>
                <w:bCs/>
                <w:color w:val="auto"/>
                <w:highlight w:val="none"/>
                <w:lang w:val="en-US" w:eastAsia="zh-CN"/>
              </w:rPr>
            </w:pPr>
            <w:r>
              <w:rPr>
                <w:rFonts w:hint="eastAsia"/>
                <w:b w:val="0"/>
                <w:bCs/>
                <w:color w:val="auto"/>
                <w:highlight w:val="none"/>
                <w:lang w:val="en-US" w:eastAsia="zh-CN"/>
              </w:rPr>
              <w:t>网络环境变更或业务新增时，针对实际环境，提供安全加固建议并协助完成安全设备或网络设备的配置调整。最终交付《安全加固报告》</w:t>
            </w:r>
          </w:p>
        </w:tc>
        <w:tc>
          <w:tcPr>
            <w:tcW w:w="2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FB9FE0">
            <w:pPr>
              <w:pStyle w:val="56"/>
              <w:snapToGrid w:val="0"/>
              <w:spacing w:before="0" w:beforeAutospacing="0" w:after="0" w:afterAutospacing="0"/>
              <w:jc w:val="center"/>
              <w:rPr>
                <w:rFonts w:hint="eastAsia"/>
                <w:b w:val="0"/>
                <w:bCs/>
                <w:color w:val="auto"/>
                <w:highlight w:val="none"/>
                <w:lang w:val="en-US" w:eastAsia="zh-CN"/>
              </w:rPr>
            </w:pPr>
            <w:r>
              <w:rPr>
                <w:rFonts w:hint="eastAsia"/>
                <w:b w:val="0"/>
                <w:bCs/>
                <w:color w:val="auto"/>
                <w:highlight w:val="none"/>
              </w:rPr>
              <w:t>每季度一次</w:t>
            </w:r>
          </w:p>
        </w:tc>
      </w:tr>
      <w:bookmarkEnd w:id="14"/>
    </w:tbl>
    <w:p w14:paraId="1765D1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8"/>
          <w:highlight w:val="none"/>
          <w:lang w:val="en-US" w:eastAsia="zh-CN" w:bidi="ar-SA"/>
        </w:rPr>
      </w:pPr>
      <w:r>
        <w:rPr>
          <w:rFonts w:hint="eastAsia" w:ascii="宋体" w:hAnsi="宋体" w:cs="宋体"/>
          <w:b/>
          <w:bCs w:val="0"/>
          <w:color w:val="auto"/>
          <w:kern w:val="0"/>
          <w:sz w:val="24"/>
          <w:szCs w:val="28"/>
          <w:highlight w:val="none"/>
          <w:lang w:val="en-US" w:eastAsia="zh-CN" w:bidi="ar-SA"/>
        </w:rPr>
        <w:t>。</w:t>
      </w:r>
    </w:p>
    <w:p w14:paraId="0CA2822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、交付、验收及付款</w:t>
      </w:r>
    </w:p>
    <w:p w14:paraId="18A6AC85">
      <w:pPr>
        <w:pStyle w:val="60"/>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本项目服务期限为一年（从签订合同之日算起），其中：</w:t>
      </w:r>
    </w:p>
    <w:p w14:paraId="276E55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、漏洞扫描等网络安全服务按项目需求中网络安全服务清单中的要求进行，并出具相关报告。</w:t>
      </w:r>
    </w:p>
    <w:p w14:paraId="3DB2D0F4">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lang w:val="en-US" w:eastAsia="zh-CN"/>
        </w:rPr>
        <w:t>2</w:t>
      </w:r>
      <w:r>
        <w:rPr>
          <w:rFonts w:hint="eastAsia" w:asciiTheme="minorEastAsia" w:hAnsiTheme="minorEastAsia" w:eastAsiaTheme="minorEastAsia" w:cstheme="minorEastAsia"/>
          <w:bCs w:val="0"/>
          <w:color w:val="auto"/>
          <w:sz w:val="24"/>
          <w:szCs w:val="24"/>
          <w:highlight w:val="none"/>
        </w:rPr>
        <w:t>、付款方式：</w:t>
      </w:r>
      <w:r>
        <w:rPr>
          <w:rFonts w:hint="eastAsia" w:asciiTheme="minorEastAsia" w:hAnsiTheme="minorEastAsia" w:eastAsiaTheme="minorEastAsia" w:cstheme="minorEastAsia"/>
          <w:color w:val="auto"/>
          <w:sz w:val="24"/>
          <w:szCs w:val="24"/>
          <w:highlight w:val="none"/>
          <w:lang w:val="en-US" w:eastAsia="zh-CN"/>
        </w:rPr>
        <w:t>签订合同后支付合同价款的30%，完成本项目所有工作内容并通过采购人验收合格后付清余款。</w:t>
      </w:r>
    </w:p>
    <w:p w14:paraId="44335805">
      <w:pPr>
        <w:pStyle w:val="60"/>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bCs w:val="0"/>
          <w:color w:val="auto"/>
          <w:sz w:val="24"/>
          <w:szCs w:val="24"/>
          <w:highlight w:val="none"/>
        </w:rPr>
      </w:pPr>
    </w:p>
    <w:p w14:paraId="6A8FC902">
      <w:pPr>
        <w:snapToGrid w:val="0"/>
        <w:spacing w:line="360" w:lineRule="auto"/>
        <w:jc w:val="center"/>
        <w:outlineLvl w:val="1"/>
        <w:rPr>
          <w:rStyle w:val="121"/>
          <w:rFonts w:hint="default"/>
          <w:bCs/>
          <w:color w:val="auto"/>
          <w:sz w:val="28"/>
          <w:szCs w:val="28"/>
          <w:highlight w:val="none"/>
        </w:rPr>
      </w:pPr>
    </w:p>
    <w:p w14:paraId="0E78C295">
      <w:pPr>
        <w:snapToGrid w:val="0"/>
        <w:spacing w:line="360" w:lineRule="auto"/>
        <w:jc w:val="center"/>
        <w:outlineLvl w:val="1"/>
        <w:rPr>
          <w:rStyle w:val="121"/>
          <w:rFonts w:hint="default"/>
          <w:bCs/>
          <w:color w:val="auto"/>
          <w:sz w:val="28"/>
          <w:szCs w:val="28"/>
          <w:highlight w:val="none"/>
        </w:rPr>
      </w:pPr>
    </w:p>
    <w:p w14:paraId="3C859573">
      <w:pPr>
        <w:snapToGrid w:val="0"/>
        <w:spacing w:line="360" w:lineRule="auto"/>
        <w:jc w:val="center"/>
        <w:outlineLvl w:val="1"/>
        <w:rPr>
          <w:rStyle w:val="121"/>
          <w:rFonts w:hint="default"/>
          <w:bCs/>
          <w:color w:val="auto"/>
          <w:sz w:val="28"/>
          <w:szCs w:val="28"/>
          <w:highlight w:val="none"/>
        </w:rPr>
      </w:pPr>
      <w:r>
        <w:rPr>
          <w:rStyle w:val="121"/>
          <w:rFonts w:hint="default"/>
          <w:bCs/>
          <w:color w:val="auto"/>
          <w:sz w:val="28"/>
          <w:szCs w:val="28"/>
          <w:highlight w:val="none"/>
        </w:rPr>
        <w:t>第四章  评审方法和程序</w:t>
      </w:r>
    </w:p>
    <w:p w14:paraId="613DA0A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ascii="宋体" w:hAnsi="宋体"/>
          <w:b/>
          <w:color w:val="auto"/>
          <w:sz w:val="24"/>
          <w:highlight w:val="none"/>
        </w:rPr>
      </w:pPr>
      <w:bookmarkStart w:id="15" w:name="OLE_LINK61"/>
      <w:bookmarkStart w:id="16" w:name="OLE_LINK65"/>
      <w:r>
        <w:rPr>
          <w:rFonts w:ascii="宋体" w:hAnsi="宋体"/>
          <w:b/>
          <w:color w:val="auto"/>
          <w:sz w:val="24"/>
          <w:highlight w:val="none"/>
        </w:rPr>
        <w:t>一、采购人组织开标</w:t>
      </w:r>
    </w:p>
    <w:p w14:paraId="2C7B877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ascii="宋体" w:hAnsi="宋体"/>
          <w:color w:val="auto"/>
          <w:sz w:val="24"/>
          <w:highlight w:val="none"/>
        </w:rPr>
        <w:t>1、成立评标委员会，由有关专家依法组成。</w:t>
      </w:r>
    </w:p>
    <w:p w14:paraId="0CED67A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ascii="宋体" w:hAnsi="宋体"/>
          <w:color w:val="auto"/>
          <w:sz w:val="24"/>
          <w:highlight w:val="none"/>
        </w:rPr>
        <w:t>2、投标人的法定代表人或被授权人须持身份证准时参加投标会。</w:t>
      </w:r>
    </w:p>
    <w:p w14:paraId="619AA99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投标人递交投标文件时，投标人的法定代表人（或其授权代理人）必须携带本人身份证原件、法定代表人身份证明（或授权委托书）原件准时参加开标会议。否则，其投标文件不予受理。</w:t>
      </w:r>
    </w:p>
    <w:p w14:paraId="15F502B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b/>
          <w:color w:val="auto"/>
          <w:sz w:val="24"/>
          <w:highlight w:val="none"/>
        </w:rPr>
        <w:t>二、开标</w:t>
      </w:r>
    </w:p>
    <w:p w14:paraId="6B0FCFE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w:t>
      </w:r>
      <w:r>
        <w:rPr>
          <w:rFonts w:hint="eastAsia" w:ascii="宋体" w:hAnsi="宋体"/>
          <w:color w:val="auto"/>
          <w:sz w:val="24"/>
          <w:highlight w:val="none"/>
          <w:lang w:val="en-US" w:eastAsia="zh-CN"/>
        </w:rPr>
        <w:t>人</w:t>
      </w:r>
      <w:r>
        <w:rPr>
          <w:rFonts w:hint="eastAsia" w:ascii="宋体" w:hAnsi="宋体"/>
          <w:color w:val="auto"/>
          <w:sz w:val="24"/>
          <w:highlight w:val="none"/>
        </w:rPr>
        <w:t>主持开标并记录，及时处理投标人代表提出的询问或者回避申请。</w:t>
      </w:r>
    </w:p>
    <w:p w14:paraId="15F6850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投标人不足</w:t>
      </w:r>
      <w:r>
        <w:rPr>
          <w:rFonts w:ascii="宋体" w:hAnsi="宋体"/>
          <w:color w:val="auto"/>
          <w:sz w:val="24"/>
          <w:highlight w:val="none"/>
        </w:rPr>
        <w:t>3</w:t>
      </w:r>
      <w:r>
        <w:rPr>
          <w:rFonts w:hint="eastAsia" w:ascii="宋体" w:hAnsi="宋体"/>
          <w:color w:val="auto"/>
          <w:sz w:val="24"/>
          <w:highlight w:val="none"/>
        </w:rPr>
        <w:t>家的不得开标，相应处理方式见本招标文件第四章第十一条的规定。</w:t>
      </w:r>
    </w:p>
    <w:p w14:paraId="6ECDAE7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b/>
          <w:color w:val="auto"/>
          <w:sz w:val="24"/>
          <w:highlight w:val="none"/>
        </w:rPr>
      </w:pPr>
      <w:r>
        <w:rPr>
          <w:rFonts w:hint="eastAsia" w:ascii="宋体" w:hAnsi="宋体"/>
          <w:b/>
          <w:color w:val="auto"/>
          <w:sz w:val="24"/>
          <w:highlight w:val="none"/>
        </w:rPr>
        <w:t>三、资格审查</w:t>
      </w:r>
    </w:p>
    <w:p w14:paraId="3A4BD82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、开标后，采购人依据中华人民共和国财政部令第87号《政府采购货物和服务招标投标管理办法》文件第四十四条的规定，根据招标文件载明的资格审查要求，对投标人的资格进行审查。</w:t>
      </w:r>
    </w:p>
    <w:p w14:paraId="2530DC4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2、资格审查合格的投标人进入评标。</w:t>
      </w:r>
    </w:p>
    <w:p w14:paraId="3D83169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s="宋体"/>
          <w:color w:val="auto"/>
          <w:sz w:val="24"/>
          <w:highlight w:val="none"/>
        </w:rPr>
        <w:t>3、合格投标人不足3家的，不得评标，相应处理方式见本招标文件第四部分第十一条的规定。</w:t>
      </w:r>
    </w:p>
    <w:p w14:paraId="0FAC801D">
      <w:pPr>
        <w:keepNext w:val="0"/>
        <w:keepLines w:val="0"/>
        <w:pageBreakBefore w:val="0"/>
        <w:widowControl w:val="0"/>
        <w:shd w:val="clear" w:color="auto" w:fill="FFFFFF"/>
        <w:kinsoku/>
        <w:wordWrap/>
        <w:overflowPunct/>
        <w:topLinePunct w:val="0"/>
        <w:autoSpaceDE/>
        <w:autoSpaceDN/>
        <w:bidi w:val="0"/>
        <w:adjustRightInd w:val="0"/>
        <w:spacing w:line="360" w:lineRule="auto"/>
        <w:ind w:firstLine="480" w:firstLineChars="200"/>
        <w:textAlignment w:val="auto"/>
        <w:rPr>
          <w:rFonts w:ascii="宋体" w:hAnsi="宋体"/>
          <w:color w:val="auto"/>
          <w:sz w:val="24"/>
          <w:highlight w:val="none"/>
        </w:rPr>
      </w:pPr>
      <w:r>
        <w:rPr>
          <w:rFonts w:hint="eastAsia" w:ascii="宋体" w:hAnsi="宋体"/>
          <w:b/>
          <w:color w:val="auto"/>
          <w:sz w:val="24"/>
          <w:highlight w:val="none"/>
        </w:rPr>
        <w:t>四、评标</w:t>
      </w:r>
    </w:p>
    <w:p w14:paraId="0725E87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b/>
          <w:color w:val="auto"/>
          <w:sz w:val="24"/>
          <w:highlight w:val="none"/>
        </w:rPr>
      </w:pPr>
      <w:r>
        <w:rPr>
          <w:rFonts w:hint="eastAsia" w:ascii="宋体" w:hAnsi="宋体"/>
          <w:color w:val="auto"/>
          <w:sz w:val="24"/>
          <w:highlight w:val="none"/>
        </w:rPr>
        <w:t>1、评标时间：</w:t>
      </w:r>
      <w:r>
        <w:rPr>
          <w:rFonts w:hint="eastAsia" w:ascii="宋体" w:hAnsi="宋体"/>
          <w:b/>
          <w:color w:val="auto"/>
          <w:sz w:val="24"/>
          <w:highlight w:val="none"/>
        </w:rPr>
        <w:t>开标后。</w:t>
      </w:r>
    </w:p>
    <w:p w14:paraId="5E5B6C3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2、采购</w:t>
      </w:r>
      <w:r>
        <w:rPr>
          <w:rFonts w:hint="eastAsia" w:ascii="宋体" w:hAnsi="宋体"/>
          <w:color w:val="auto"/>
          <w:sz w:val="24"/>
          <w:highlight w:val="none"/>
          <w:lang w:val="en-US" w:eastAsia="zh-CN"/>
        </w:rPr>
        <w:t>人</w:t>
      </w:r>
      <w:r>
        <w:rPr>
          <w:rFonts w:hint="eastAsia" w:ascii="宋体" w:hAnsi="宋体"/>
          <w:color w:val="auto"/>
          <w:sz w:val="24"/>
          <w:highlight w:val="none"/>
        </w:rPr>
        <w:t>负责组织评标工作，并履行下列职责：</w:t>
      </w:r>
    </w:p>
    <w:p w14:paraId="2B0A337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（1）核对评审专家身份，对评审专家在采购活动中的职责履行情况予以记录，并及时将有关违法违规行为向财政部门报告。</w:t>
      </w:r>
    </w:p>
    <w:p w14:paraId="15F9367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（2）宣布评标纪律。</w:t>
      </w:r>
    </w:p>
    <w:p w14:paraId="3816F39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（3）公布投标人名单，告知评审专家应当回避的情形。</w:t>
      </w:r>
    </w:p>
    <w:p w14:paraId="3E91A87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）在评标期间采取必要的通讯管理措施，保证评标活动不受外界干扰；除采购人代表、评标现场组织人员外，采购人的其他工作人员以及与评标工作无关的人员不得进入评标现场。</w:t>
      </w:r>
    </w:p>
    <w:p w14:paraId="3E111C2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）根据评标委员会的要求介绍采购相关政策法规、招标文件。</w:t>
      </w:r>
    </w:p>
    <w:p w14:paraId="22D068F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193E44A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）处理与评标有关的其他事项。</w:t>
      </w:r>
    </w:p>
    <w:p w14:paraId="045A6C5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3、评标委员会负责具体评标事务：</w:t>
      </w:r>
    </w:p>
    <w:p w14:paraId="43E7135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4303126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AD5FFC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3）评标委员会发现招标文件存在歧义、重大缺陷导致评标工作无法进行，或者招标文件内容违反国家有关强制性规定的，应当停止评标工作，与采购人沟通并作书面记录。采购人确认后，应当修改招标文件，重新组织采购活动。</w:t>
      </w:r>
    </w:p>
    <w:p w14:paraId="1A7F199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4、评标委员会成员独立履行以下职责与义务：</w:t>
      </w:r>
    </w:p>
    <w:p w14:paraId="5C25337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（1）遵纪守法，客观、公正、廉洁地履行职责；</w:t>
      </w:r>
    </w:p>
    <w:p w14:paraId="68A0884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（2）审查合格投标人的投标文件是否实质性响应招标文件要求，并做出评价；</w:t>
      </w:r>
    </w:p>
    <w:p w14:paraId="6EF7040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（3）按照招标文件规定的评标办法和评标标准进行评标，对评审意见承担个人责任；</w:t>
      </w:r>
    </w:p>
    <w:p w14:paraId="5E9EC08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（4）可以要求投标人对投标文件有关事项作出解释或澄清；</w:t>
      </w:r>
    </w:p>
    <w:p w14:paraId="577E120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（5）对评标过程和结果，以及投标人的商业秘密保密；</w:t>
      </w:r>
    </w:p>
    <w:p w14:paraId="4793F4F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（6）配合相关部门的投诉处理工作；</w:t>
      </w:r>
    </w:p>
    <w:p w14:paraId="1223E95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（7）配合采购人答复投标人提出的质疑。</w:t>
      </w:r>
    </w:p>
    <w:p w14:paraId="075D2C0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14:paraId="59FB532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14:paraId="0D85FE6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7、评审期间，合格投标人的投标文件仍有可能被评标委员会根据规定判为无效投标。</w:t>
      </w:r>
    </w:p>
    <w:p w14:paraId="45909CB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color w:val="auto"/>
          <w:sz w:val="24"/>
          <w:highlight w:val="none"/>
        </w:rPr>
        <w:t>8、在投标文件的评审、澄清、评价和比较以及授予合同的过程中，投标人对采购人和评标委员会成员有施加影响的任何行为，都将取消其可能的中标资格。</w:t>
      </w:r>
    </w:p>
    <w:p w14:paraId="16BD641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ascii="宋体" w:hAnsi="宋体"/>
          <w:color w:val="auto"/>
          <w:sz w:val="24"/>
          <w:highlight w:val="none"/>
        </w:rPr>
      </w:pPr>
      <w:r>
        <w:rPr>
          <w:rFonts w:hint="eastAsia" w:ascii="宋体" w:hAnsi="宋体"/>
          <w:b/>
          <w:color w:val="auto"/>
          <w:sz w:val="24"/>
          <w:highlight w:val="none"/>
        </w:rPr>
        <w:t>五、评审原则</w:t>
      </w:r>
    </w:p>
    <w:p w14:paraId="1686C83C">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本项目采用</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低价中标法</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，即指投标文件满足本项目招标文件全部实质性要求，经评审后</w:t>
      </w:r>
      <w:r>
        <w:rPr>
          <w:rFonts w:hint="eastAsia" w:ascii="宋体" w:hAnsi="宋体" w:cs="宋体"/>
          <w:color w:val="auto"/>
          <w:sz w:val="24"/>
          <w:highlight w:val="none"/>
          <w:lang w:val="en-US" w:eastAsia="zh-CN"/>
        </w:rPr>
        <w:t>价格最低的</w:t>
      </w:r>
      <w:r>
        <w:rPr>
          <w:rFonts w:hint="eastAsia" w:ascii="宋体" w:hAnsi="宋体" w:cs="宋体"/>
          <w:color w:val="auto"/>
          <w:sz w:val="24"/>
          <w:highlight w:val="none"/>
        </w:rPr>
        <w:t>投标人推荐为中标人的评标方法。</w:t>
      </w:r>
    </w:p>
    <w:p w14:paraId="3F1526CB">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s="宋体"/>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w:t>
      </w:r>
    </w:p>
    <w:p w14:paraId="558E6517">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s="宋体"/>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14:paraId="4225F19C">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olor w:val="auto"/>
          <w:sz w:val="24"/>
          <w:highlight w:val="none"/>
        </w:rPr>
      </w:pPr>
      <w:r>
        <w:rPr>
          <w:rFonts w:hint="eastAsia" w:ascii="宋体" w:hAnsi="宋体" w:cs="宋体"/>
          <w:color w:val="auto"/>
          <w:sz w:val="24"/>
          <w:highlight w:val="none"/>
        </w:rPr>
        <w:t>4、对投标文件的评审判定，只依据投标文件内容本身，不依靠开标后任何外来证明文件。</w:t>
      </w:r>
    </w:p>
    <w:p w14:paraId="3B63AB36">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olor w:val="auto"/>
          <w:sz w:val="24"/>
          <w:highlight w:val="none"/>
        </w:rPr>
      </w:pPr>
      <w:r>
        <w:rPr>
          <w:rFonts w:hint="eastAsia" w:ascii="宋体" w:hAnsi="宋体"/>
          <w:b/>
          <w:color w:val="auto"/>
          <w:sz w:val="24"/>
          <w:highlight w:val="none"/>
        </w:rPr>
        <w:t>六、评审方法</w:t>
      </w:r>
    </w:p>
    <w:p w14:paraId="74B0657A">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评标程序：</w:t>
      </w:r>
    </w:p>
    <w:p w14:paraId="2148261C">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s="宋体"/>
          <w:color w:val="auto"/>
          <w:sz w:val="24"/>
          <w:highlight w:val="none"/>
        </w:rPr>
        <w:t>资格符合性评审——价格标评审——确定中标候选人。</w:t>
      </w:r>
    </w:p>
    <w:p w14:paraId="5B6A96F5">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s="宋体"/>
          <w:color w:val="auto"/>
          <w:sz w:val="24"/>
          <w:highlight w:val="none"/>
        </w:rPr>
        <w:t>2、评标委员会将仅对按本招标文件载明的方法与规定，为实质上响应招标文件要求的投标文件评审并进行评价和比较。</w:t>
      </w:r>
    </w:p>
    <w:p w14:paraId="16EBBE33">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、评标委员会严格按照招标文件的要求、条件、评分标准，对投标人所提供货物或服务的先进性、可靠性、售后服务承诺、质量保证承诺等实质性响应内容进行比较。</w:t>
      </w:r>
    </w:p>
    <w:p w14:paraId="0808C34B">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、评审后</w:t>
      </w:r>
      <w:r>
        <w:rPr>
          <w:rFonts w:hint="eastAsia" w:ascii="宋体" w:hAnsi="宋体" w:cs="宋体"/>
          <w:color w:val="auto"/>
          <w:sz w:val="24"/>
          <w:highlight w:val="none"/>
          <w:lang w:val="en-US" w:eastAsia="zh-CN"/>
        </w:rPr>
        <w:t>价格</w:t>
      </w:r>
      <w:r>
        <w:rPr>
          <w:rFonts w:hint="eastAsia" w:ascii="宋体" w:hAnsi="宋体" w:cs="宋体"/>
          <w:color w:val="auto"/>
          <w:sz w:val="24"/>
          <w:highlight w:val="none"/>
        </w:rPr>
        <w:t>相同的，则采取现场抽签的方式确定（投标人的抽签顺序分别为各投标人递交投标文件签到顺序号）。</w:t>
      </w:r>
    </w:p>
    <w:p w14:paraId="6B6F754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b/>
          <w:color w:val="auto"/>
          <w:sz w:val="24"/>
          <w:highlight w:val="none"/>
        </w:rPr>
        <w:t>七、关于投标价格评审</w:t>
      </w:r>
    </w:p>
    <w:p w14:paraId="29CE85C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2"/>
        <w:rPr>
          <w:rFonts w:ascii="宋体" w:hAnsi="宋体" w:cs="宋体"/>
          <w:color w:val="auto"/>
          <w:sz w:val="24"/>
          <w:highlight w:val="none"/>
        </w:rPr>
      </w:pPr>
      <w:r>
        <w:rPr>
          <w:rFonts w:hint="eastAsia" w:ascii="宋体" w:hAnsi="宋体" w:cs="宋体"/>
          <w:color w:val="auto"/>
          <w:sz w:val="24"/>
          <w:highlight w:val="none"/>
        </w:rPr>
        <w:t>1、针对投标价格实质响应的评审</w:t>
      </w:r>
    </w:p>
    <w:p w14:paraId="3778D237">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color w:val="auto"/>
          <w:sz w:val="24"/>
          <w:highlight w:val="none"/>
        </w:rPr>
      </w:pPr>
      <w:r>
        <w:rPr>
          <w:rFonts w:hint="eastAsia" w:ascii="宋体" w:hAnsi="宋体" w:cs="宋体"/>
          <w:color w:val="auto"/>
          <w:sz w:val="24"/>
          <w:highlight w:val="none"/>
        </w:rPr>
        <w:t>评标委员会将审查每份投标文件的商务报价是否实质上响应了招标文件的要求。实质上响应的投标应该是与招标文件要求的全部条款、条件和规格相符。如未实质上响应 ，则按无效投标处理。</w:t>
      </w:r>
    </w:p>
    <w:p w14:paraId="54FDC08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2、针对投标价格合理性的评审</w:t>
      </w:r>
    </w:p>
    <w:p w14:paraId="53BD3334">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 w:val="24"/>
          <w:highlight w:val="none"/>
        </w:rPr>
        <w:t xml:space="preserve"> </w:t>
      </w:r>
    </w:p>
    <w:p w14:paraId="7D8956AE">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宋体" w:hAnsi="宋体" w:cs="宋体"/>
          <w:b/>
          <w:color w:val="auto"/>
          <w:sz w:val="24"/>
          <w:highlight w:val="none"/>
        </w:rPr>
      </w:pPr>
      <w:r>
        <w:rPr>
          <w:rFonts w:hint="eastAsia" w:ascii="宋体" w:hAnsi="宋体" w:cs="宋体"/>
          <w:b/>
          <w:color w:val="auto"/>
          <w:sz w:val="24"/>
          <w:highlight w:val="none"/>
        </w:rPr>
        <w:t>八、评审项</w:t>
      </w:r>
    </w:p>
    <w:bookmarkEnd w:id="15"/>
    <w:bookmarkEnd w:id="16"/>
    <w:p w14:paraId="492C5CE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2"/>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1、采购内容及详细功能参数：</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47"/>
        <w:gridCol w:w="5114"/>
        <w:gridCol w:w="2381"/>
      </w:tblGrid>
      <w:tr w14:paraId="7862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14FBF5FA">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序号</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BF50973">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服务名称</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DE4DD15">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服务内容</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7A23FD2">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服务频率/交付</w:t>
            </w:r>
          </w:p>
        </w:tc>
      </w:tr>
      <w:tr w14:paraId="668F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766D1F8B">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1</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84EFF3F">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漏洞扫描服务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3E364EF8">
            <w:pPr>
              <w:pStyle w:val="56"/>
              <w:snapToGrid w:val="0"/>
              <w:spacing w:before="0" w:beforeAutospacing="0" w:after="0" w:afterAutospacing="0"/>
              <w:jc w:val="both"/>
              <w:rPr>
                <w:rFonts w:hint="eastAsia"/>
                <w:b w:val="0"/>
                <w:bCs/>
                <w:color w:val="auto"/>
                <w:highlight w:val="none"/>
              </w:rPr>
            </w:pPr>
            <w:r>
              <w:rPr>
                <w:rFonts w:hint="eastAsia"/>
                <w:b w:val="0"/>
                <w:bCs/>
                <w:color w:val="auto"/>
                <w:highlight w:val="none"/>
              </w:rPr>
              <w:t>1、对网络设备、安全设备、服务器以及业务应用系统进行漏洞扫描服务，并出具相关报告；</w:t>
            </w:r>
          </w:p>
          <w:p w14:paraId="00F05751">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rPr>
              <w:t>2、有新设备或新业务上线时，对业务及设备进行安全扫描检查，并提供结果报告</w:t>
            </w:r>
            <w:r>
              <w:rPr>
                <w:rFonts w:hint="eastAsia"/>
                <w:b w:val="0"/>
                <w:bCs/>
                <w:color w:val="auto"/>
                <w:highlight w:val="none"/>
                <w:lang w:eastAsia="zh-CN"/>
              </w:rPr>
              <w:t>，</w:t>
            </w:r>
            <w:r>
              <w:rPr>
                <w:rFonts w:hint="eastAsia"/>
                <w:b w:val="0"/>
                <w:bCs/>
                <w:color w:val="auto"/>
                <w:highlight w:val="none"/>
                <w:lang w:val="en-US" w:eastAsia="zh-CN"/>
              </w:rPr>
              <w:t>交付</w:t>
            </w:r>
            <w:r>
              <w:rPr>
                <w:rFonts w:hint="eastAsia" w:ascii="宋体" w:hAnsi="宋体" w:eastAsia="宋体" w:cs="Times New Roman"/>
                <w:bCs/>
                <w:color w:val="auto"/>
                <w:kern w:val="2"/>
                <w:sz w:val="24"/>
                <w:szCs w:val="24"/>
                <w:highlight w:val="none"/>
                <w:lang w:val="en-US" w:eastAsia="zh-CN" w:bidi="ar-SA"/>
              </w:rPr>
              <w:t>《漏洞扫描报告》</w:t>
            </w:r>
            <w:r>
              <w:rPr>
                <w:rFonts w:hint="eastAsia" w:cs="Times New Roman"/>
                <w:bCs/>
                <w:color w:val="auto"/>
                <w:kern w:val="2"/>
                <w:sz w:val="24"/>
                <w:szCs w:val="24"/>
                <w:highlight w:val="none"/>
                <w:lang w:val="en-US" w:eastAsia="zh-CN" w:bidi="ar-SA"/>
              </w:rPr>
              <w:t>。</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59FD2A7">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w:t>
            </w:r>
            <w:r>
              <w:rPr>
                <w:rFonts w:hint="eastAsia"/>
                <w:b w:val="0"/>
                <w:bCs/>
                <w:color w:val="auto"/>
                <w:highlight w:val="none"/>
                <w:lang w:val="en-US" w:eastAsia="zh-CN"/>
              </w:rPr>
              <w:t>每季度</w:t>
            </w:r>
            <w:r>
              <w:rPr>
                <w:rFonts w:hint="eastAsia"/>
                <w:b w:val="0"/>
                <w:bCs/>
                <w:color w:val="auto"/>
                <w:highlight w:val="none"/>
              </w:rPr>
              <w:t>一次</w:t>
            </w:r>
          </w:p>
        </w:tc>
      </w:tr>
      <w:tr w14:paraId="1CA0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613979A0">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2</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E738399">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lang w:val="en-US" w:eastAsia="zh-CN"/>
              </w:rPr>
              <w:t>安全培训及应急演练服务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75B08D83">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1、针对法律法规、网络安全相关知识进行专业培训。</w:t>
            </w:r>
          </w:p>
          <w:p w14:paraId="1DC20F85">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网络安全基本常识培训内容包括网络安全态势、网络安全事件、日常工作中需养成的安全习惯等。</w:t>
            </w:r>
          </w:p>
          <w:p w14:paraId="2AC375A3">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网络安全法律法规培训重点围绕《网络安全法，结合具体案例开展。</w:t>
            </w:r>
          </w:p>
          <w:p w14:paraId="2089AEB2">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2、开展一次网络安全应急演练，加强职工网络安全防范意识，最终交付《应急演练及培训总结报告》。</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5907E3C">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合同期内一次</w:t>
            </w:r>
          </w:p>
        </w:tc>
      </w:tr>
      <w:tr w14:paraId="049E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7858C65">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CF1236D">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渗透测试</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B6E7ABD">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1、采用各种手段模拟真实的安全攻击，从而发现黑客入侵信息系统的潜在可能途径。渗透测试工作以人工渗透为主，辅以攻击工具的使用。</w:t>
            </w:r>
          </w:p>
          <w:p w14:paraId="24BA974A">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lang w:val="en-US" w:eastAsia="zh-CN"/>
              </w:rPr>
              <w:t>2、主要的渗透测试方法包括：信息收集、端口扫描、远程溢出、口令猜测、本地溢出、企业用户端攻击、中间人攻击、web脚本渗透、B/S或C/S应用程序测试、社会工程等，最终交付《渗透测试报告》。</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EA7888A">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合同期内一次</w:t>
            </w:r>
          </w:p>
        </w:tc>
      </w:tr>
      <w:tr w14:paraId="3937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2A4628FC">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4</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26670D8">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应急响应服务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75E05BF8">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lang w:val="en-US" w:eastAsia="zh-CN"/>
              </w:rPr>
              <w:t>当单位发生黑客入侵、系统崩溃或其它影响业务正常运行的安全事件时，需第一时间对安全事件进行应急响应处理，给出相应的解决方案，并在48小时内形成《应急响应服务报告》。</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B9B467E">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合同期内按需</w:t>
            </w:r>
          </w:p>
        </w:tc>
      </w:tr>
      <w:tr w14:paraId="3A89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68B4CDA1">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5</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DA35560">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网站主机安全管理服务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2F5CBEF2">
            <w:pPr>
              <w:pStyle w:val="56"/>
              <w:snapToGrid w:val="0"/>
              <w:spacing w:before="0" w:beforeAutospacing="0" w:after="0" w:afterAutospacing="0"/>
              <w:jc w:val="both"/>
              <w:rPr>
                <w:rFonts w:hint="default" w:ascii="宋体" w:hAnsi="宋体" w:cs="宋体"/>
                <w:color w:val="auto"/>
                <w:sz w:val="24"/>
                <w:highlight w:val="none"/>
                <w:lang w:val="en-US" w:eastAsia="zh-CN"/>
              </w:rPr>
            </w:pPr>
            <w:r>
              <w:rPr>
                <w:rFonts w:hint="eastAsia"/>
                <w:b w:val="0"/>
                <w:bCs/>
                <w:color w:val="auto"/>
                <w:highlight w:val="none"/>
                <w:lang w:val="en-US" w:eastAsia="zh-CN"/>
              </w:rPr>
              <w:t>对网站</w:t>
            </w:r>
            <w:r>
              <w:rPr>
                <w:rFonts w:hint="eastAsia"/>
                <w:b w:val="0"/>
                <w:bCs/>
                <w:color w:val="auto"/>
                <w:highlight w:val="none"/>
              </w:rPr>
              <w:t>服务器</w:t>
            </w:r>
            <w:r>
              <w:rPr>
                <w:rFonts w:hint="eastAsia"/>
                <w:b w:val="0"/>
                <w:bCs/>
                <w:color w:val="auto"/>
                <w:highlight w:val="none"/>
                <w:lang w:val="en-US" w:eastAsia="zh-CN"/>
              </w:rPr>
              <w:t>进行</w:t>
            </w:r>
            <w:r>
              <w:rPr>
                <w:rFonts w:hint="eastAsia"/>
                <w:b w:val="0"/>
                <w:bCs/>
                <w:color w:val="auto"/>
                <w:highlight w:val="none"/>
              </w:rPr>
              <w:t>安全加固、网络流量监控与分析、用户行为分析、应用控制、带宽管理</w:t>
            </w:r>
            <w:r>
              <w:rPr>
                <w:rFonts w:hint="eastAsia"/>
                <w:b w:val="0"/>
                <w:bCs/>
                <w:color w:val="auto"/>
                <w:highlight w:val="none"/>
                <w:lang w:eastAsia="zh-CN"/>
              </w:rPr>
              <w:t>、</w:t>
            </w:r>
            <w:r>
              <w:rPr>
                <w:rFonts w:hint="eastAsia"/>
                <w:b w:val="0"/>
                <w:bCs/>
                <w:color w:val="auto"/>
                <w:highlight w:val="none"/>
                <w:lang w:val="en-US" w:eastAsia="zh-CN"/>
              </w:rPr>
              <w:t>网络防篡改、防端口扫描、杀毒</w:t>
            </w:r>
            <w:r>
              <w:rPr>
                <w:rFonts w:hint="eastAsia"/>
                <w:b w:val="0"/>
                <w:bCs/>
                <w:color w:val="auto"/>
                <w:highlight w:val="none"/>
              </w:rPr>
              <w:t>等</w:t>
            </w:r>
            <w:r>
              <w:rPr>
                <w:rFonts w:hint="eastAsia"/>
                <w:b w:val="0"/>
                <w:bCs/>
                <w:color w:val="auto"/>
                <w:highlight w:val="none"/>
                <w:lang w:eastAsia="zh-CN"/>
              </w:rPr>
              <w:t>，</w:t>
            </w:r>
            <w:r>
              <w:rPr>
                <w:rFonts w:hint="eastAsia"/>
                <w:b w:val="0"/>
                <w:bCs/>
                <w:color w:val="auto"/>
                <w:highlight w:val="none"/>
                <w:lang w:val="en-US" w:eastAsia="zh-CN"/>
              </w:rPr>
              <w:t>全方位保证网站的安全。</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42ED0248">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val="0"/>
                <w:bCs/>
                <w:color w:val="auto"/>
                <w:highlight w:val="none"/>
                <w:lang w:val="en-US" w:eastAsia="zh-CN"/>
              </w:rPr>
              <w:t>合同期内一年</w:t>
            </w:r>
          </w:p>
        </w:tc>
      </w:tr>
      <w:tr w14:paraId="60C1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21894D19">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6</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7D49A34">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巡检服务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F396463">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1、制定全年的安全巡检计划，内容包括巡检目标和范围、内容规划、巡检时间表和频率、巡检人员和职责、响应机制、记录和报告、审查和改进。</w:t>
            </w:r>
          </w:p>
          <w:p w14:paraId="45C74B44">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lang w:val="en-US" w:eastAsia="zh-CN"/>
              </w:rPr>
              <w:t>2、巡检内容主要包括系统和应用安全、网络安全、数据和备份安全、物理安全、安全策略和程序、安全事件响应，从六大维度全面检查单位的网络状态，保障单位的网络安全，最终交付《巡检报告》。</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534F469">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每季度一次</w:t>
            </w:r>
          </w:p>
        </w:tc>
      </w:tr>
      <w:tr w14:paraId="174D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E36980">
            <w:pPr>
              <w:pStyle w:val="56"/>
              <w:snapToGrid w:val="0"/>
              <w:spacing w:before="0" w:beforeAutospacing="0" w:after="0" w:afterAutospacing="0"/>
              <w:jc w:val="center"/>
              <w:rPr>
                <w:rFonts w:hint="eastAsia" w:ascii="宋体" w:hAnsi="宋体" w:eastAsia="宋体" w:cs="宋体"/>
                <w:b/>
                <w:color w:val="auto"/>
                <w:kern w:val="0"/>
                <w:sz w:val="24"/>
                <w:szCs w:val="24"/>
                <w:highlight w:val="none"/>
                <w:lang w:val="en-US" w:eastAsia="zh-CN" w:bidi="ar-SA"/>
              </w:rPr>
            </w:pPr>
            <w:r>
              <w:rPr>
                <w:rFonts w:hint="eastAsia"/>
                <w:b/>
                <w:color w:val="auto"/>
                <w:highlight w:val="none"/>
                <w:lang w:val="en-US" w:eastAsia="zh-CN"/>
              </w:rPr>
              <w:t>7</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12807">
            <w:pPr>
              <w:pStyle w:val="56"/>
              <w:snapToGrid w:val="0"/>
              <w:spacing w:before="0" w:beforeAutospacing="0" w:after="0" w:afterAutospacing="0"/>
              <w:jc w:val="center"/>
              <w:rPr>
                <w:rFonts w:hint="eastAsia" w:ascii="宋体" w:hAnsi="宋体" w:eastAsia="宋体" w:cs="宋体"/>
                <w:b/>
                <w:color w:val="auto"/>
                <w:kern w:val="0"/>
                <w:sz w:val="24"/>
                <w:szCs w:val="24"/>
                <w:highlight w:val="none"/>
                <w:lang w:val="en-US" w:eastAsia="zh-CN" w:bidi="ar-SA"/>
              </w:rPr>
            </w:pPr>
            <w:r>
              <w:rPr>
                <w:rFonts w:hint="eastAsia"/>
                <w:b/>
                <w:color w:val="auto"/>
                <w:highlight w:val="none"/>
                <w:lang w:val="en-US" w:eastAsia="zh-CN"/>
              </w:rPr>
              <w:t>安全咨询服务</w:t>
            </w:r>
          </w:p>
        </w:tc>
        <w:tc>
          <w:tcPr>
            <w:tcW w:w="51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A0DF2C">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网络安全咨询服务包括：</w:t>
            </w:r>
          </w:p>
          <w:p w14:paraId="75A28282">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w:t>
            </w:r>
            <w:r>
              <w:rPr>
                <w:rFonts w:hint="default"/>
                <w:b w:val="0"/>
                <w:bCs/>
                <w:color w:val="auto"/>
                <w:highlight w:val="none"/>
                <w:lang w:val="en-US" w:eastAsia="zh-CN"/>
              </w:rPr>
              <w:t>合规性咨询</w:t>
            </w:r>
            <w:r>
              <w:rPr>
                <w:rFonts w:hint="eastAsia"/>
                <w:b w:val="0"/>
                <w:bCs/>
                <w:color w:val="auto"/>
                <w:highlight w:val="none"/>
                <w:lang w:val="en-US" w:eastAsia="zh-CN"/>
              </w:rPr>
              <w:t>：帮助单位理解和实施国家信息安全保护的等级要求，确保符合相关法律法规。</w:t>
            </w:r>
          </w:p>
          <w:p w14:paraId="31C5E63F">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2）</w:t>
            </w:r>
            <w:r>
              <w:rPr>
                <w:rFonts w:hint="default"/>
                <w:b w:val="0"/>
                <w:bCs/>
                <w:color w:val="auto"/>
                <w:highlight w:val="none"/>
                <w:lang w:val="en-US" w:eastAsia="zh-CN"/>
              </w:rPr>
              <w:t>风险</w:t>
            </w:r>
            <w:r>
              <w:rPr>
                <w:rFonts w:hint="eastAsia"/>
                <w:b w:val="0"/>
                <w:bCs/>
                <w:color w:val="auto"/>
                <w:highlight w:val="none"/>
                <w:lang w:val="en-US" w:eastAsia="zh-CN"/>
              </w:rPr>
              <w:t>咨询：为单位提供针对性的风险应对策略和措施，以降低潜在风险的影响。</w:t>
            </w:r>
          </w:p>
          <w:p w14:paraId="6ECE6FD5">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3）</w:t>
            </w:r>
            <w:r>
              <w:rPr>
                <w:rFonts w:hint="default"/>
                <w:b w:val="0"/>
                <w:bCs/>
                <w:color w:val="auto"/>
                <w:highlight w:val="none"/>
                <w:lang w:val="en-US" w:eastAsia="zh-CN"/>
              </w:rPr>
              <w:t>安全架构设计</w:t>
            </w:r>
            <w:r>
              <w:rPr>
                <w:rFonts w:hint="eastAsia"/>
                <w:b w:val="0"/>
                <w:bCs/>
                <w:color w:val="auto"/>
                <w:highlight w:val="none"/>
                <w:lang w:val="en-US" w:eastAsia="zh-CN"/>
              </w:rPr>
              <w:t>咨询：根据业务需求和安全战略，设计全面的网络安全架构，确保技术和应用层面的安全性，支持整体安全架构的实现。</w:t>
            </w:r>
          </w:p>
          <w:p w14:paraId="1A851759">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4）</w:t>
            </w:r>
            <w:r>
              <w:rPr>
                <w:rFonts w:hint="default"/>
                <w:b w:val="0"/>
                <w:bCs/>
                <w:color w:val="auto"/>
                <w:highlight w:val="none"/>
                <w:lang w:val="en-US" w:eastAsia="zh-CN"/>
              </w:rPr>
              <w:t>安全策略制定</w:t>
            </w:r>
            <w:r>
              <w:rPr>
                <w:rFonts w:hint="eastAsia"/>
                <w:b w:val="0"/>
                <w:bCs/>
                <w:color w:val="auto"/>
                <w:highlight w:val="none"/>
                <w:lang w:val="en-US" w:eastAsia="zh-CN"/>
              </w:rPr>
              <w:t>咨询：帮助单位建立或优化安全政策和流程，提高整体安全管理水平。</w:t>
            </w:r>
          </w:p>
          <w:p w14:paraId="753B5B3F">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5)日常网络问题咨询：任何涉及到网络安全的问题均可咨询。</w:t>
            </w:r>
          </w:p>
          <w:p w14:paraId="325ECEB5">
            <w:pPr>
              <w:pStyle w:val="56"/>
              <w:snapToGrid w:val="0"/>
              <w:spacing w:before="0" w:beforeAutospacing="0" w:after="0" w:afterAutospacing="0"/>
              <w:jc w:val="both"/>
              <w:rPr>
                <w:rFonts w:hint="eastAsia" w:ascii="宋体" w:hAnsi="宋体" w:eastAsia="宋体" w:cs="宋体"/>
                <w:b w:val="0"/>
                <w:bCs/>
                <w:color w:val="auto"/>
                <w:kern w:val="0"/>
                <w:sz w:val="24"/>
                <w:szCs w:val="24"/>
                <w:highlight w:val="none"/>
                <w:lang w:val="en-US" w:eastAsia="zh-CN" w:bidi="ar-SA"/>
              </w:rPr>
            </w:pPr>
            <w:r>
              <w:rPr>
                <w:rFonts w:hint="eastAsia"/>
                <w:b w:val="0"/>
                <w:bCs/>
                <w:color w:val="auto"/>
                <w:highlight w:val="none"/>
                <w:lang w:val="en-US" w:eastAsia="zh-CN"/>
              </w:rPr>
              <w:t>无需出具报告。</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F25F4D">
            <w:pPr>
              <w:pStyle w:val="56"/>
              <w:snapToGrid w:val="0"/>
              <w:spacing w:before="0" w:beforeAutospacing="0" w:after="0" w:afterAutospacing="0"/>
              <w:jc w:val="center"/>
              <w:rPr>
                <w:rFonts w:hint="eastAsia" w:ascii="宋体" w:hAnsi="宋体" w:eastAsia="宋体" w:cs="宋体"/>
                <w:b w:val="0"/>
                <w:bCs/>
                <w:color w:val="auto"/>
                <w:kern w:val="0"/>
                <w:sz w:val="24"/>
                <w:szCs w:val="24"/>
                <w:highlight w:val="none"/>
                <w:lang w:val="en-US" w:eastAsia="zh-CN" w:bidi="ar-SA"/>
              </w:rPr>
            </w:pPr>
            <w:r>
              <w:rPr>
                <w:rFonts w:hint="eastAsia"/>
                <w:b w:val="0"/>
                <w:bCs/>
                <w:color w:val="auto"/>
                <w:highlight w:val="none"/>
                <w:lang w:val="en-US" w:eastAsia="zh-CN"/>
              </w:rPr>
              <w:t>合同期内按需</w:t>
            </w:r>
          </w:p>
        </w:tc>
      </w:tr>
      <w:tr w14:paraId="730A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4694A5">
            <w:pPr>
              <w:pStyle w:val="56"/>
              <w:snapToGrid w:val="0"/>
              <w:spacing w:before="0" w:beforeAutospacing="0" w:after="0" w:afterAutospacing="0"/>
              <w:jc w:val="center"/>
              <w:rPr>
                <w:rFonts w:hint="eastAsia" w:ascii="宋体" w:hAnsi="宋体" w:eastAsia="宋体" w:cs="宋体"/>
                <w:b/>
                <w:color w:val="auto"/>
                <w:kern w:val="0"/>
                <w:sz w:val="24"/>
                <w:szCs w:val="24"/>
                <w:highlight w:val="none"/>
                <w:lang w:val="en-US" w:eastAsia="zh-CN" w:bidi="ar-SA"/>
              </w:rPr>
            </w:pPr>
            <w:r>
              <w:rPr>
                <w:rFonts w:hint="eastAsia"/>
                <w:b/>
                <w:color w:val="auto"/>
                <w:highlight w:val="none"/>
                <w:lang w:val="en-US" w:eastAsia="zh-CN"/>
              </w:rPr>
              <w:t>8</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8B5C8">
            <w:pPr>
              <w:pStyle w:val="56"/>
              <w:snapToGrid w:val="0"/>
              <w:spacing w:before="0" w:beforeAutospacing="0" w:after="0" w:afterAutospacing="0"/>
              <w:jc w:val="center"/>
              <w:rPr>
                <w:rFonts w:hint="eastAsia" w:ascii="宋体" w:hAnsi="宋体" w:eastAsia="宋体" w:cs="宋体"/>
                <w:b/>
                <w:color w:val="auto"/>
                <w:kern w:val="0"/>
                <w:sz w:val="24"/>
                <w:szCs w:val="24"/>
                <w:highlight w:val="none"/>
                <w:lang w:val="en-US" w:eastAsia="zh-CN" w:bidi="ar-SA"/>
              </w:rPr>
            </w:pPr>
            <w:r>
              <w:rPr>
                <w:rFonts w:hint="eastAsia"/>
                <w:b/>
                <w:color w:val="auto"/>
                <w:highlight w:val="none"/>
                <w:lang w:val="en-US" w:eastAsia="zh-CN"/>
              </w:rPr>
              <w:t>安全加固服务</w:t>
            </w:r>
          </w:p>
        </w:tc>
        <w:tc>
          <w:tcPr>
            <w:tcW w:w="51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CC89CB">
            <w:pPr>
              <w:pStyle w:val="56"/>
              <w:numPr>
                <w:ilvl w:val="0"/>
                <w:numId w:val="10"/>
              </w:numPr>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针对日常安全检查、漏洞扫描等安全评估过程中发现的各种安全隐患，进行安全加固和优化；</w:t>
            </w:r>
          </w:p>
          <w:p w14:paraId="34E28C56">
            <w:pPr>
              <w:pStyle w:val="56"/>
              <w:numPr>
                <w:ilvl w:val="0"/>
                <w:numId w:val="10"/>
              </w:numPr>
              <w:snapToGrid w:val="0"/>
              <w:spacing w:before="0" w:beforeAutospacing="0" w:after="0" w:afterAutospacing="0"/>
              <w:jc w:val="both"/>
              <w:rPr>
                <w:rFonts w:hint="eastAsia" w:ascii="宋体" w:hAnsi="宋体" w:eastAsia="宋体" w:cs="宋体"/>
                <w:b w:val="0"/>
                <w:bCs/>
                <w:color w:val="auto"/>
                <w:kern w:val="0"/>
                <w:sz w:val="24"/>
                <w:szCs w:val="24"/>
                <w:highlight w:val="none"/>
                <w:lang w:val="en-US" w:eastAsia="zh-CN" w:bidi="ar-SA"/>
              </w:rPr>
            </w:pPr>
            <w:r>
              <w:rPr>
                <w:rFonts w:hint="eastAsia"/>
                <w:b w:val="0"/>
                <w:bCs/>
                <w:color w:val="auto"/>
                <w:highlight w:val="none"/>
                <w:lang w:val="en-US" w:eastAsia="zh-CN"/>
              </w:rPr>
              <w:t>网络环境变更或业务新增时，针对实际环境，提供安全加固建议并协助完成安全设备或网络设备的配置调整。最终交付《安全加固报告》</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3131D5">
            <w:pPr>
              <w:pStyle w:val="56"/>
              <w:snapToGrid w:val="0"/>
              <w:spacing w:before="0" w:beforeAutospacing="0" w:after="0" w:afterAutospacing="0"/>
              <w:jc w:val="center"/>
              <w:rPr>
                <w:rFonts w:hint="eastAsia" w:ascii="宋体" w:hAnsi="宋体" w:eastAsia="宋体" w:cs="宋体"/>
                <w:b w:val="0"/>
                <w:bCs/>
                <w:color w:val="auto"/>
                <w:kern w:val="0"/>
                <w:sz w:val="24"/>
                <w:szCs w:val="24"/>
                <w:highlight w:val="none"/>
                <w:lang w:val="en-US" w:eastAsia="zh-CN" w:bidi="ar-SA"/>
              </w:rPr>
            </w:pPr>
            <w:r>
              <w:rPr>
                <w:rFonts w:hint="eastAsia"/>
                <w:b w:val="0"/>
                <w:bCs/>
                <w:color w:val="auto"/>
                <w:highlight w:val="none"/>
              </w:rPr>
              <w:t>每季度一次</w:t>
            </w:r>
          </w:p>
        </w:tc>
      </w:tr>
    </w:tbl>
    <w:p w14:paraId="4DE0F57A">
      <w:pPr>
        <w:keepNext w:val="0"/>
        <w:keepLines w:val="0"/>
        <w:pageBreakBefore w:val="0"/>
        <w:widowControl w:val="0"/>
        <w:kinsoku/>
        <w:wordWrap/>
        <w:overflowPunct/>
        <w:topLinePunct w:val="0"/>
        <w:autoSpaceDE/>
        <w:autoSpaceDN/>
        <w:bidi w:val="0"/>
        <w:adjustRightInd/>
        <w:snapToGrid w:val="0"/>
        <w:spacing w:line="460" w:lineRule="exact"/>
        <w:contextualSpacing/>
        <w:textAlignment w:val="auto"/>
        <w:rPr>
          <w:rFonts w:hint="eastAsia" w:ascii="方正仿宋_GBK" w:hAnsi="方正仿宋_GBK" w:eastAsia="方正仿宋_GBK" w:cs="方正仿宋_GBK"/>
          <w:color w:val="auto"/>
          <w:sz w:val="28"/>
          <w:szCs w:val="28"/>
          <w:highlight w:val="none"/>
          <w:lang w:val="en-US" w:eastAsia="zh-CN"/>
        </w:rPr>
      </w:pPr>
    </w:p>
    <w:p w14:paraId="76EA69F3">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网站主机安全管理服务中涉及的产品详细参数要求：</w:t>
      </w:r>
    </w:p>
    <w:tbl>
      <w:tblPr>
        <w:tblStyle w:val="62"/>
        <w:tblpPr w:leftFromText="180" w:rightFromText="180" w:vertAnchor="text" w:horzAnchor="page" w:tblpX="1243" w:tblpY="975"/>
        <w:tblOverlap w:val="never"/>
        <w:tblW w:w="95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2"/>
        <w:gridCol w:w="8048"/>
      </w:tblGrid>
      <w:tr w14:paraId="4658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482" w:type="dxa"/>
            <w:tcBorders>
              <w:tl2br w:val="nil"/>
              <w:tr2bl w:val="nil"/>
            </w:tcBorders>
            <w:shd w:val="clear" w:color="auto" w:fill="D9D9D9"/>
            <w:noWrap w:val="0"/>
            <w:vAlign w:val="center"/>
          </w:tcPr>
          <w:p w14:paraId="45D811C3">
            <w:pPr>
              <w:keepNext w:val="0"/>
              <w:keepLines w:val="0"/>
              <w:widowControl/>
              <w:suppressLineNumbers w:val="0"/>
              <w:spacing w:beforeAutospacing="0" w:after="0" w:afterAutospacing="0"/>
              <w:ind w:left="0" w:right="0" w:firstLine="210" w:firstLineChars="1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指标项</w:t>
            </w:r>
          </w:p>
        </w:tc>
        <w:tc>
          <w:tcPr>
            <w:tcW w:w="8048" w:type="dxa"/>
            <w:tcBorders>
              <w:tl2br w:val="nil"/>
              <w:tr2bl w:val="nil"/>
            </w:tcBorders>
            <w:shd w:val="clear" w:color="auto" w:fill="D9D9D9"/>
            <w:noWrap w:val="0"/>
            <w:vAlign w:val="top"/>
          </w:tcPr>
          <w:p w14:paraId="5D7DC245">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指标要求</w:t>
            </w:r>
          </w:p>
        </w:tc>
      </w:tr>
      <w:tr w14:paraId="4B81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482" w:type="dxa"/>
            <w:tcBorders>
              <w:tl2br w:val="nil"/>
              <w:tr2bl w:val="nil"/>
            </w:tcBorders>
            <w:noWrap w:val="0"/>
            <w:vAlign w:val="center"/>
          </w:tcPr>
          <w:p w14:paraId="4600AEF1">
            <w:pPr>
              <w:keepNext w:val="0"/>
              <w:keepLines w:val="0"/>
              <w:widowControl/>
              <w:suppressLineNumbers w:val="0"/>
              <w:spacing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服务产品形态</w:t>
            </w:r>
          </w:p>
        </w:tc>
        <w:tc>
          <w:tcPr>
            <w:tcW w:w="8048" w:type="dxa"/>
            <w:tcBorders>
              <w:tl2br w:val="nil"/>
              <w:tr2bl w:val="nil"/>
            </w:tcBorders>
            <w:noWrap w:val="0"/>
            <w:vAlign w:val="top"/>
          </w:tcPr>
          <w:p w14:paraId="58B81E9F">
            <w:pPr>
              <w:keepNext w:val="0"/>
              <w:keepLines w:val="0"/>
              <w:widowControl/>
              <w:suppressLineNumbers w:val="0"/>
              <w:spacing w:beforeAutospacing="0" w:after="0" w:afterAutospacing="0"/>
              <w:ind w:left="0" w:right="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color w:val="auto"/>
                <w:sz w:val="21"/>
                <w:szCs w:val="21"/>
                <w:highlight w:val="none"/>
                <w:lang w:val="en-US" w:eastAsia="zh-CN"/>
              </w:rPr>
              <w:t>为节省本地服务器资源，招标产品</w:t>
            </w:r>
            <w:r>
              <w:rPr>
                <w:rFonts w:hint="eastAsia" w:ascii="宋体" w:hAnsi="宋体" w:cs="宋体"/>
                <w:i w:val="0"/>
                <w:iCs w:val="0"/>
                <w:color w:val="auto"/>
                <w:kern w:val="0"/>
                <w:sz w:val="21"/>
                <w:szCs w:val="21"/>
                <w:highlight w:val="none"/>
                <w:u w:val="none"/>
                <w:lang w:val="en-US" w:eastAsia="zh-CN" w:bidi="ar"/>
              </w:rPr>
              <w:t>采用SAAS化管理平台，本地无需提供额外服务器进行管理平台的部署</w:t>
            </w:r>
          </w:p>
        </w:tc>
      </w:tr>
      <w:tr w14:paraId="3868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482" w:type="dxa"/>
            <w:tcBorders>
              <w:tl2br w:val="nil"/>
              <w:tr2bl w:val="nil"/>
            </w:tcBorders>
            <w:noWrap w:val="0"/>
            <w:vAlign w:val="center"/>
          </w:tcPr>
          <w:p w14:paraId="203D5A52">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客户端操作系统兼容性</w:t>
            </w:r>
          </w:p>
        </w:tc>
        <w:tc>
          <w:tcPr>
            <w:tcW w:w="8048" w:type="dxa"/>
            <w:tcBorders>
              <w:tl2br w:val="nil"/>
              <w:tr2bl w:val="nil"/>
            </w:tcBorders>
            <w:noWrap w:val="0"/>
            <w:vAlign w:val="top"/>
          </w:tcPr>
          <w:p w14:paraId="606782DB">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Windows Server 2003 sp2/R2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Windows Server 2008 sp1及以上/R2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Windows Server 2012~2019 sp1及以上/R2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CentOs 5.0及以上</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RHEL 5.5及以上</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Ubuntu 14.04及以上</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SUSE 11及以上版本</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Kylin Linux 4.18.0-147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Deepin-4.19.0-arm64-server</w:t>
            </w:r>
          </w:p>
        </w:tc>
      </w:tr>
      <w:tr w14:paraId="0289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vMerge w:val="restart"/>
            <w:tcBorders>
              <w:tl2br w:val="nil"/>
              <w:tr2bl w:val="nil"/>
            </w:tcBorders>
            <w:noWrap w:val="0"/>
            <w:vAlign w:val="center"/>
          </w:tcPr>
          <w:p w14:paraId="32372B5B">
            <w:pPr>
              <w:keepNext w:val="0"/>
              <w:keepLines w:val="0"/>
              <w:widowControl/>
              <w:suppressLineNumbers w:val="0"/>
              <w:spacing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产品安全机制</w:t>
            </w:r>
          </w:p>
        </w:tc>
        <w:tc>
          <w:tcPr>
            <w:tcW w:w="8048" w:type="dxa"/>
            <w:tcBorders>
              <w:tl2br w:val="nil"/>
              <w:tr2bl w:val="nil"/>
            </w:tcBorders>
            <w:noWrap w:val="0"/>
            <w:vAlign w:val="top"/>
          </w:tcPr>
          <w:p w14:paraId="2588E963">
            <w:pPr>
              <w:keepNext w:val="0"/>
              <w:keepLines w:val="0"/>
              <w:widowControl/>
              <w:suppressLineNumbers w:val="0"/>
              <w:spacing w:beforeAutospacing="0" w:after="0" w:afterAutospacing="0" w:line="240" w:lineRule="auto"/>
              <w:ind w:left="0" w:right="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产品应支持各功能组件间通过网络传输的数据进行保护，防止被非授权获取。</w:t>
            </w:r>
            <w:r>
              <w:rPr>
                <w:rFonts w:hint="eastAsia" w:ascii="宋体" w:hAnsi="宋体" w:eastAsia="宋体" w:cs="宋体"/>
                <w:b/>
                <w:bCs/>
                <w:i w:val="0"/>
                <w:iCs w:val="0"/>
                <w:color w:val="auto"/>
                <w:kern w:val="0"/>
                <w:sz w:val="21"/>
                <w:szCs w:val="21"/>
                <w:highlight w:val="none"/>
                <w:u w:val="none"/>
                <w:lang w:val="en-US" w:eastAsia="zh-CN" w:bidi="ar"/>
              </w:rPr>
              <w:t>（提供国家级测评中心出具的对应功能测试报告）</w:t>
            </w:r>
          </w:p>
        </w:tc>
      </w:tr>
      <w:tr w14:paraId="5441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vMerge w:val="continue"/>
            <w:tcBorders>
              <w:tl2br w:val="nil"/>
              <w:tr2bl w:val="nil"/>
            </w:tcBorders>
            <w:noWrap w:val="0"/>
            <w:vAlign w:val="center"/>
          </w:tcPr>
          <w:p w14:paraId="48E7A059">
            <w:pPr>
              <w:keepNext w:val="0"/>
              <w:keepLines w:val="0"/>
              <w:widowControl/>
              <w:suppressLineNumbers w:val="0"/>
              <w:spacing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048" w:type="dxa"/>
            <w:tcBorders>
              <w:tl2br w:val="nil"/>
              <w:tr2bl w:val="nil"/>
            </w:tcBorders>
            <w:noWrap w:val="0"/>
            <w:vAlign w:val="center"/>
          </w:tcPr>
          <w:p w14:paraId="04B9C6A4">
            <w:pPr>
              <w:keepNext w:val="0"/>
              <w:keepLines w:val="0"/>
              <w:widowControl/>
              <w:suppressLineNumbers w:val="0"/>
              <w:spacing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所投产品需支持自我防护技术，即使客户端被意外关闭，防护依然有效</w:t>
            </w:r>
          </w:p>
        </w:tc>
      </w:tr>
      <w:tr w14:paraId="5F25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tcBorders>
              <w:tl2br w:val="nil"/>
              <w:tr2bl w:val="nil"/>
            </w:tcBorders>
            <w:noWrap w:val="0"/>
            <w:vAlign w:val="center"/>
          </w:tcPr>
          <w:p w14:paraId="038E83EB">
            <w:pPr>
              <w:keepNext w:val="0"/>
              <w:keepLines w:val="0"/>
              <w:widowControl/>
              <w:suppressLineNumbers w:val="0"/>
              <w:spacing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资源占用</w:t>
            </w:r>
          </w:p>
        </w:tc>
        <w:tc>
          <w:tcPr>
            <w:tcW w:w="8048" w:type="dxa"/>
            <w:tcBorders>
              <w:tl2br w:val="nil"/>
              <w:tr2bl w:val="nil"/>
            </w:tcBorders>
            <w:noWrap w:val="0"/>
            <w:vAlign w:val="center"/>
          </w:tcPr>
          <w:p w14:paraId="48BF46A3">
            <w:pPr>
              <w:keepNext w:val="0"/>
              <w:keepLines w:val="0"/>
              <w:widowControl/>
              <w:suppressLineNumbers w:val="0"/>
              <w:spacing w:beforeAutospacing="0" w:after="0" w:afterAutospacing="0"/>
              <w:ind w:left="0" w:right="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投标产品需满足以下资源占用要求</w:t>
            </w:r>
            <w:r>
              <w:rPr>
                <w:rFonts w:hint="eastAsia" w:ascii="宋体" w:hAnsi="宋体" w:eastAsia="宋体" w:cs="宋体"/>
                <w:b/>
                <w:bCs/>
                <w:i w:val="0"/>
                <w:iCs w:val="0"/>
                <w:color w:val="auto"/>
                <w:kern w:val="0"/>
                <w:sz w:val="21"/>
                <w:szCs w:val="21"/>
                <w:highlight w:val="none"/>
                <w:u w:val="none"/>
                <w:lang w:val="en-US" w:eastAsia="zh-CN" w:bidi="ar"/>
              </w:rPr>
              <w:t>（提供第三方测评机构测试报告）</w:t>
            </w:r>
          </w:p>
          <w:p w14:paraId="3656F3DB">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Windows环境：静默状态下Agent占用服务器内存资源应不超过20MB，CPU单核使用率不超过5%；工作状态状态下Agent占用服务器内存资源应不超过20MB，CPU单核使用率不超过5%。</w:t>
            </w:r>
          </w:p>
          <w:p w14:paraId="22B1D3CB">
            <w:pPr>
              <w:keepNext w:val="0"/>
              <w:keepLines w:val="0"/>
              <w:widowControl/>
              <w:suppressLineNumbers w:val="0"/>
              <w:spacing w:beforeAutospacing="0" w:after="0" w:afterAutospacing="0"/>
              <w:ind w:left="0" w:right="0"/>
              <w:jc w:val="left"/>
              <w:textAlignment w:val="top"/>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Linux环境：静默状态下Agent占用服务器内存资源应不超过100MB，CPU单核使用率不超过5%；工作状态下的内存资源占用应不超过150MB，CPU单核使用率不超过5%。</w:t>
            </w:r>
          </w:p>
        </w:tc>
      </w:tr>
      <w:tr w14:paraId="4974F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82" w:type="dxa"/>
            <w:tcBorders>
              <w:tl2br w:val="nil"/>
              <w:tr2bl w:val="nil"/>
            </w:tcBorders>
            <w:noWrap w:val="0"/>
            <w:vAlign w:val="center"/>
          </w:tcPr>
          <w:p w14:paraId="38B28D0C">
            <w:pPr>
              <w:keepNext w:val="0"/>
              <w:keepLines w:val="0"/>
              <w:widowControl/>
              <w:suppressLineNumbers w:val="0"/>
              <w:spacing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应急响应</w:t>
            </w:r>
          </w:p>
        </w:tc>
        <w:tc>
          <w:tcPr>
            <w:tcW w:w="8048" w:type="dxa"/>
            <w:tcBorders>
              <w:tl2br w:val="nil"/>
              <w:tr2bl w:val="nil"/>
            </w:tcBorders>
            <w:noWrap w:val="0"/>
            <w:vAlign w:val="top"/>
          </w:tcPr>
          <w:p w14:paraId="0D8CD68A">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支持对主机进行一键隔离、一键禁止暴露外网、一键禁止暴露内网等快速应急操作 </w:t>
            </w:r>
            <w:r>
              <w:rPr>
                <w:rFonts w:hint="default" w:ascii="宋体" w:hAnsi="宋体" w:eastAsia="宋体"/>
                <w:b/>
                <w:bCs/>
                <w:color w:val="auto"/>
                <w:sz w:val="21"/>
                <w:szCs w:val="21"/>
                <w:highlight w:val="none"/>
              </w:rPr>
              <w:t>（截图证明）</w:t>
            </w:r>
          </w:p>
        </w:tc>
      </w:tr>
      <w:tr w14:paraId="6393B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1482" w:type="dxa"/>
            <w:vMerge w:val="restart"/>
            <w:tcBorders>
              <w:tl2br w:val="nil"/>
              <w:tr2bl w:val="nil"/>
            </w:tcBorders>
            <w:noWrap w:val="0"/>
            <w:vAlign w:val="center"/>
          </w:tcPr>
          <w:p w14:paraId="27267D7A">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风险总览</w:t>
            </w:r>
          </w:p>
        </w:tc>
        <w:tc>
          <w:tcPr>
            <w:tcW w:w="8048" w:type="dxa"/>
            <w:tcBorders>
              <w:tl2br w:val="nil"/>
              <w:tr2bl w:val="nil"/>
            </w:tcBorders>
            <w:noWrap w:val="0"/>
            <w:vAlign w:val="top"/>
          </w:tcPr>
          <w:p w14:paraId="4AD78A7F">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统计总风险及各类风险数量，展示影响服务器信息。通过各类图表展示风险项等级分布、安全评分趋势、风险项趋势、易受攻击服务器等相关统计信息，便于用户快速了解风险整体情况。同时支持查看和配置模式，配置模式下支持图表布局。</w:t>
            </w:r>
          </w:p>
        </w:tc>
      </w:tr>
      <w:tr w14:paraId="4225E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82" w:type="dxa"/>
            <w:vMerge w:val="continue"/>
            <w:tcBorders>
              <w:tl2br w:val="nil"/>
              <w:tr2bl w:val="nil"/>
            </w:tcBorders>
            <w:noWrap w:val="0"/>
            <w:vAlign w:val="center"/>
          </w:tcPr>
          <w:p w14:paraId="2E8E393F">
            <w:pPr>
              <w:keepNext w:val="0"/>
              <w:keepLines w:val="0"/>
              <w:widowControl/>
              <w:suppressLineNumbers w:val="0"/>
              <w:spacing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048" w:type="dxa"/>
            <w:tcBorders>
              <w:tl2br w:val="nil"/>
              <w:tr2bl w:val="nil"/>
            </w:tcBorders>
            <w:noWrap w:val="0"/>
            <w:vAlign w:val="top"/>
          </w:tcPr>
          <w:p w14:paraId="0580918D">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所投产品需支持通过安全评分算法对风险分析扫描结果进行计算，获取当前服务器全局安全评分及评级，同时可查看具体的风险项情况及影响服务器数量。</w:t>
            </w:r>
          </w:p>
        </w:tc>
      </w:tr>
      <w:tr w14:paraId="3E65D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82" w:type="dxa"/>
            <w:vMerge w:val="restart"/>
            <w:tcBorders>
              <w:tl2br w:val="nil"/>
              <w:tr2bl w:val="nil"/>
            </w:tcBorders>
            <w:noWrap w:val="0"/>
            <w:vAlign w:val="center"/>
          </w:tcPr>
          <w:p w14:paraId="0941D8E6">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账户风险</w:t>
            </w:r>
          </w:p>
        </w:tc>
        <w:tc>
          <w:tcPr>
            <w:tcW w:w="8048" w:type="dxa"/>
            <w:tcBorders>
              <w:tl2br w:val="nil"/>
              <w:tr2bl w:val="nil"/>
            </w:tcBorders>
            <w:noWrap w:val="0"/>
            <w:vAlign w:val="top"/>
          </w:tcPr>
          <w:p w14:paraId="6211969B">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所投产品需支持对服务器中的风险账户进行检测，发现可能存在的风险账号，并可对风险账号进行标记修复、加白等操作；</w:t>
            </w:r>
          </w:p>
        </w:tc>
      </w:tr>
      <w:tr w14:paraId="59C2E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82" w:type="dxa"/>
            <w:vMerge w:val="continue"/>
            <w:tcBorders>
              <w:tl2br w:val="nil"/>
              <w:tr2bl w:val="nil"/>
            </w:tcBorders>
            <w:noWrap w:val="0"/>
            <w:vAlign w:val="center"/>
          </w:tcPr>
          <w:p w14:paraId="0A3335E1">
            <w:pPr>
              <w:keepNext w:val="0"/>
              <w:keepLines w:val="0"/>
              <w:widowControl/>
              <w:suppressLineNumbers w:val="0"/>
              <w:spacing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048" w:type="dxa"/>
            <w:tcBorders>
              <w:tl2br w:val="nil"/>
              <w:tr2bl w:val="nil"/>
            </w:tcBorders>
            <w:noWrap w:val="0"/>
            <w:vAlign w:val="top"/>
          </w:tcPr>
          <w:p w14:paraId="4BF550AA">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所投产品需支持对服务器中复用的相同密码进行检测，可识别出某个密码被哪些服务器、哪个账户、在什么操作系统上进行了复用；</w:t>
            </w:r>
            <w:r>
              <w:rPr>
                <w:rFonts w:hint="default" w:ascii="宋体" w:hAnsi="宋体" w:eastAsia="宋体"/>
                <w:b/>
                <w:bCs/>
                <w:color w:val="auto"/>
                <w:sz w:val="21"/>
                <w:szCs w:val="21"/>
                <w:highlight w:val="none"/>
              </w:rPr>
              <w:t>（截图证明）</w:t>
            </w:r>
          </w:p>
        </w:tc>
      </w:tr>
      <w:tr w14:paraId="7D53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1482" w:type="dxa"/>
            <w:tcBorders>
              <w:tl2br w:val="nil"/>
              <w:tr2bl w:val="nil"/>
            </w:tcBorders>
            <w:noWrap w:val="0"/>
            <w:vAlign w:val="center"/>
          </w:tcPr>
          <w:p w14:paraId="531C2166">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基线检查</w:t>
            </w:r>
          </w:p>
        </w:tc>
        <w:tc>
          <w:tcPr>
            <w:tcW w:w="8048" w:type="dxa"/>
            <w:tcBorders>
              <w:tl2br w:val="nil"/>
              <w:tr2bl w:val="nil"/>
            </w:tcBorders>
            <w:noWrap w:val="0"/>
            <w:vAlign w:val="top"/>
          </w:tcPr>
          <w:p w14:paraId="25530986">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所投产品需内置等保二级、三级、CIS、系统服务核查、账户安全核查、系统配置安全检查、应用配置安全检项</w:t>
            </w:r>
            <w:r>
              <w:rPr>
                <w:rFonts w:hint="default" w:ascii="宋体" w:hAnsi="宋体" w:eastAsia="宋体"/>
                <w:b/>
                <w:bCs/>
                <w:color w:val="auto"/>
                <w:sz w:val="21"/>
                <w:szCs w:val="21"/>
                <w:highlight w:val="none"/>
              </w:rPr>
              <w:t>（截图证明）</w:t>
            </w:r>
            <w:r>
              <w:rPr>
                <w:rFonts w:hint="eastAsia" w:ascii="宋体" w:hAnsi="宋体" w:eastAsia="宋体" w:cs="宋体"/>
                <w:i w:val="0"/>
                <w:iCs w:val="0"/>
                <w:color w:val="auto"/>
                <w:kern w:val="0"/>
                <w:sz w:val="21"/>
                <w:szCs w:val="21"/>
                <w:highlight w:val="none"/>
                <w:u w:val="none"/>
                <w:lang w:val="en-US" w:eastAsia="zh-CN" w:bidi="ar"/>
              </w:rPr>
              <w:t>，并以图表的形式展示检查项的合规率、TOP5、风险服务器TOP5，并对检查出的问题给出修改意见。</w:t>
            </w:r>
          </w:p>
        </w:tc>
      </w:tr>
      <w:tr w14:paraId="145BE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1482" w:type="dxa"/>
            <w:vMerge w:val="restart"/>
            <w:tcBorders>
              <w:tl2br w:val="nil"/>
              <w:tr2bl w:val="nil"/>
            </w:tcBorders>
            <w:noWrap w:val="0"/>
            <w:vAlign w:val="center"/>
          </w:tcPr>
          <w:p w14:paraId="0801D2C5">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病毒查杀</w:t>
            </w:r>
          </w:p>
        </w:tc>
        <w:tc>
          <w:tcPr>
            <w:tcW w:w="8048" w:type="dxa"/>
            <w:tcBorders>
              <w:tl2br w:val="nil"/>
              <w:tr2bl w:val="nil"/>
            </w:tcBorders>
            <w:noWrap w:val="0"/>
            <w:vAlign w:val="top"/>
          </w:tcPr>
          <w:p w14:paraId="73EDDEF0">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所投产品需支持病毒实时防护功能，提供自主研发的病毒引擎，并支持用户在本地查杀、控制中心查杀、云查杀三种查杀模式灵活切换。</w:t>
            </w:r>
            <w:r>
              <w:rPr>
                <w:rFonts w:hint="default" w:ascii="宋体" w:hAnsi="宋体" w:eastAsia="宋体"/>
                <w:b/>
                <w:bCs/>
                <w:color w:val="auto"/>
                <w:sz w:val="21"/>
                <w:szCs w:val="21"/>
                <w:highlight w:val="none"/>
              </w:rPr>
              <w:t>（截图证明）</w:t>
            </w:r>
          </w:p>
        </w:tc>
      </w:tr>
      <w:tr w14:paraId="4C01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vMerge w:val="continue"/>
            <w:tcBorders>
              <w:tl2br w:val="nil"/>
              <w:tr2bl w:val="nil"/>
            </w:tcBorders>
            <w:noWrap w:val="0"/>
            <w:vAlign w:val="center"/>
          </w:tcPr>
          <w:p w14:paraId="0AC730C4">
            <w:pPr>
              <w:keepNext w:val="0"/>
              <w:keepLines w:val="0"/>
              <w:widowControl/>
              <w:suppressLineNumbers w:val="0"/>
              <w:spacing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048" w:type="dxa"/>
            <w:tcBorders>
              <w:tl2br w:val="nil"/>
              <w:tr2bl w:val="nil"/>
            </w:tcBorders>
            <w:noWrap w:val="0"/>
            <w:vAlign w:val="top"/>
          </w:tcPr>
          <w:p w14:paraId="75C78DCE">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所投产品需支持勒索病毒实时防护功能，并支持勒索诱饵防护、禁止删除原点设置、内核免疫设置等功能；</w:t>
            </w:r>
          </w:p>
        </w:tc>
      </w:tr>
      <w:tr w14:paraId="30A9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482" w:type="dxa"/>
            <w:vMerge w:val="continue"/>
            <w:tcBorders>
              <w:tl2br w:val="nil"/>
              <w:tr2bl w:val="nil"/>
            </w:tcBorders>
            <w:noWrap w:val="0"/>
            <w:vAlign w:val="center"/>
          </w:tcPr>
          <w:p w14:paraId="1BB433B9">
            <w:pPr>
              <w:keepNext w:val="0"/>
              <w:keepLines w:val="0"/>
              <w:widowControl/>
              <w:suppressLineNumbers w:val="0"/>
              <w:spacing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048" w:type="dxa"/>
            <w:tcBorders>
              <w:tl2br w:val="nil"/>
              <w:tr2bl w:val="nil"/>
            </w:tcBorders>
            <w:noWrap w:val="0"/>
            <w:vAlign w:val="top"/>
          </w:tcPr>
          <w:p w14:paraId="383256F9">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所投产品需支持对压缩包文件进行监控，且可设置跳过压缩包大小，最大支持100MB；可支持最多监控10层压缩包以及支持最多提取9999个压缩文件；</w:t>
            </w:r>
          </w:p>
        </w:tc>
      </w:tr>
      <w:tr w14:paraId="6351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482" w:type="dxa"/>
            <w:vMerge w:val="restart"/>
            <w:tcBorders>
              <w:tl2br w:val="nil"/>
              <w:tr2bl w:val="nil"/>
            </w:tcBorders>
            <w:noWrap w:val="0"/>
            <w:vAlign w:val="center"/>
          </w:tcPr>
          <w:p w14:paraId="32E0DEDA">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虚拟补丁</w:t>
            </w:r>
          </w:p>
        </w:tc>
        <w:tc>
          <w:tcPr>
            <w:tcW w:w="8048" w:type="dxa"/>
            <w:tcBorders>
              <w:tl2br w:val="nil"/>
              <w:tr2bl w:val="nil"/>
            </w:tcBorders>
            <w:noWrap w:val="0"/>
            <w:vAlign w:val="top"/>
          </w:tcPr>
          <w:p w14:paraId="49F081B0">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所投产品需支持提供在漏洞检测功能基础上，开启虚拟补丁防护功能。虚拟补丁需与漏洞CVE编号关联，虚拟补丁防护可支持操作系统、web服务器、中间件、数据库、应用等类型漏洞防护；</w:t>
            </w:r>
          </w:p>
        </w:tc>
      </w:tr>
      <w:tr w14:paraId="5F7F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82" w:type="dxa"/>
            <w:vMerge w:val="continue"/>
            <w:tcBorders>
              <w:tl2br w:val="nil"/>
              <w:tr2bl w:val="nil"/>
            </w:tcBorders>
            <w:noWrap w:val="0"/>
            <w:vAlign w:val="center"/>
          </w:tcPr>
          <w:p w14:paraId="6C681D4F">
            <w:pPr>
              <w:keepNext w:val="0"/>
              <w:keepLines w:val="0"/>
              <w:widowControl/>
              <w:suppressLineNumbers w:val="0"/>
              <w:spacing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048" w:type="dxa"/>
            <w:tcBorders>
              <w:tl2br w:val="nil"/>
              <w:tr2bl w:val="nil"/>
            </w:tcBorders>
            <w:noWrap w:val="0"/>
            <w:vAlign w:val="top"/>
          </w:tcPr>
          <w:p w14:paraId="21A9FB0E">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所投产品需支持一句话木马利用工具防护；需支持对致远OA、飞飞影视、宝塔面板、 正方CA等常见应用的漏洞进行防护；</w:t>
            </w:r>
          </w:p>
        </w:tc>
      </w:tr>
      <w:tr w14:paraId="728E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482" w:type="dxa"/>
            <w:tcBorders>
              <w:tl2br w:val="nil"/>
              <w:tr2bl w:val="nil"/>
            </w:tcBorders>
            <w:noWrap w:val="0"/>
            <w:vAlign w:val="center"/>
          </w:tcPr>
          <w:p w14:paraId="17C7679C">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异常登录</w:t>
            </w:r>
          </w:p>
        </w:tc>
        <w:tc>
          <w:tcPr>
            <w:tcW w:w="8048" w:type="dxa"/>
            <w:tcBorders>
              <w:tl2br w:val="nil"/>
              <w:tr2bl w:val="nil"/>
            </w:tcBorders>
            <w:noWrap w:val="0"/>
            <w:vAlign w:val="top"/>
          </w:tcPr>
          <w:p w14:paraId="028ACDA0">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所投产品需支持以可疑登录的视角对可疑登录行为进行监控，包括登录IP、发现时间等信息，并可创建可疑登录的监控规则和例外规则。</w:t>
            </w:r>
            <w:r>
              <w:rPr>
                <w:rFonts w:hint="default" w:ascii="宋体" w:hAnsi="宋体" w:eastAsia="宋体"/>
                <w:b/>
                <w:bCs/>
                <w:color w:val="auto"/>
                <w:sz w:val="21"/>
                <w:szCs w:val="21"/>
                <w:highlight w:val="none"/>
              </w:rPr>
              <w:t>（截图证明）</w:t>
            </w:r>
          </w:p>
        </w:tc>
      </w:tr>
      <w:tr w14:paraId="7AF06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vMerge w:val="restart"/>
            <w:tcBorders>
              <w:tl2br w:val="nil"/>
              <w:tr2bl w:val="nil"/>
            </w:tcBorders>
            <w:noWrap w:val="0"/>
            <w:vAlign w:val="center"/>
          </w:tcPr>
          <w:p w14:paraId="723BC3F2">
            <w:pPr>
              <w:keepNext w:val="0"/>
              <w:keepLines w:val="0"/>
              <w:widowControl/>
              <w:suppressLineNumbers w:val="0"/>
              <w:spacing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webshell</w:t>
            </w:r>
            <w:r>
              <w:rPr>
                <w:rFonts w:hint="eastAsia" w:ascii="宋体" w:hAnsi="宋体" w:cs="宋体"/>
                <w:i w:val="0"/>
                <w:iCs w:val="0"/>
                <w:color w:val="auto"/>
                <w:kern w:val="0"/>
                <w:sz w:val="21"/>
                <w:szCs w:val="21"/>
                <w:highlight w:val="none"/>
                <w:u w:val="none"/>
                <w:lang w:val="en-US" w:eastAsia="zh-CN" w:bidi="ar"/>
              </w:rPr>
              <w:t>检测</w:t>
            </w:r>
          </w:p>
        </w:tc>
        <w:tc>
          <w:tcPr>
            <w:tcW w:w="8048" w:type="dxa"/>
            <w:tcBorders>
              <w:tl2br w:val="nil"/>
              <w:tr2bl w:val="nil"/>
            </w:tcBorders>
            <w:noWrap w:val="0"/>
            <w:vAlign w:val="top"/>
          </w:tcPr>
          <w:p w14:paraId="07C7CE5B">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所投产品应支持以多种检测方式（RASP、内核监控、沙箱、内存Webshell等）检测webshell攻击；</w:t>
            </w:r>
            <w:r>
              <w:rPr>
                <w:rFonts w:hint="default" w:ascii="宋体" w:hAnsi="宋体" w:eastAsia="宋体"/>
                <w:b/>
                <w:bCs/>
                <w:color w:val="auto"/>
                <w:sz w:val="21"/>
                <w:szCs w:val="21"/>
                <w:highlight w:val="none"/>
              </w:rPr>
              <w:t>（截图证明）</w:t>
            </w:r>
          </w:p>
        </w:tc>
      </w:tr>
      <w:tr w14:paraId="1980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1482" w:type="dxa"/>
            <w:vMerge w:val="continue"/>
            <w:tcBorders>
              <w:tl2br w:val="nil"/>
              <w:tr2bl w:val="nil"/>
            </w:tcBorders>
            <w:noWrap w:val="0"/>
            <w:vAlign w:val="center"/>
          </w:tcPr>
          <w:p w14:paraId="3106F20F">
            <w:pPr>
              <w:keepNext w:val="0"/>
              <w:keepLines w:val="0"/>
              <w:widowControl/>
              <w:suppressLineNumbers w:val="0"/>
              <w:spacing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048" w:type="dxa"/>
            <w:tcBorders>
              <w:tl2br w:val="nil"/>
              <w:tr2bl w:val="nil"/>
            </w:tcBorders>
            <w:noWrap w:val="0"/>
            <w:vAlign w:val="top"/>
          </w:tcPr>
          <w:p w14:paraId="5545B1FE">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产品应支持速度优先、性能优先两种Webshell扫描方式，且支持对多种文件类型进行扫描，包括但不限于asa、asax、ascx、ashx、asp、aspx、cdx、cer、cgi、jsp、jspx、php、war、jpg、png、jpeg等文件类型</w:t>
            </w:r>
          </w:p>
        </w:tc>
      </w:tr>
      <w:tr w14:paraId="3EF39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tcBorders>
              <w:tl2br w:val="nil"/>
              <w:tr2bl w:val="nil"/>
            </w:tcBorders>
            <w:noWrap w:val="0"/>
            <w:vAlign w:val="center"/>
          </w:tcPr>
          <w:p w14:paraId="31E389EA">
            <w:pPr>
              <w:keepNext w:val="0"/>
              <w:keepLines w:val="0"/>
              <w:widowControl/>
              <w:suppressLineNumbers w:val="0"/>
              <w:spacing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本地提权</w:t>
            </w:r>
            <w:r>
              <w:rPr>
                <w:rFonts w:hint="eastAsia" w:ascii="宋体" w:hAnsi="宋体" w:cs="宋体"/>
                <w:i w:val="0"/>
                <w:iCs w:val="0"/>
                <w:color w:val="auto"/>
                <w:kern w:val="0"/>
                <w:sz w:val="21"/>
                <w:szCs w:val="21"/>
                <w:highlight w:val="none"/>
                <w:u w:val="none"/>
                <w:lang w:val="en-US" w:eastAsia="zh-CN" w:bidi="ar"/>
              </w:rPr>
              <w:t>防护</w:t>
            </w:r>
          </w:p>
        </w:tc>
        <w:tc>
          <w:tcPr>
            <w:tcW w:w="8048" w:type="dxa"/>
            <w:tcBorders>
              <w:tl2br w:val="nil"/>
              <w:tr2bl w:val="nil"/>
            </w:tcBorders>
            <w:noWrap w:val="0"/>
            <w:vAlign w:val="top"/>
          </w:tcPr>
          <w:p w14:paraId="53998FF7">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所投产品需支持对提权行为的事件进行监控及检测，并对提权事件进行进程阻断、加白等处置方式；</w:t>
            </w:r>
            <w:r>
              <w:rPr>
                <w:rFonts w:hint="default" w:ascii="宋体" w:hAnsi="宋体" w:eastAsia="宋体"/>
                <w:b/>
                <w:bCs/>
                <w:color w:val="auto"/>
                <w:sz w:val="21"/>
                <w:szCs w:val="21"/>
                <w:highlight w:val="none"/>
              </w:rPr>
              <w:t>（截图证明）</w:t>
            </w:r>
          </w:p>
        </w:tc>
      </w:tr>
      <w:tr w14:paraId="4BCC2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82" w:type="dxa"/>
            <w:tcBorders>
              <w:tl2br w:val="nil"/>
              <w:tr2bl w:val="nil"/>
            </w:tcBorders>
            <w:shd w:val="clear" w:color="auto" w:fill="FFFFFF"/>
            <w:noWrap w:val="0"/>
            <w:vAlign w:val="center"/>
          </w:tcPr>
          <w:p w14:paraId="74DA5047">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无文件攻击</w:t>
            </w:r>
          </w:p>
        </w:tc>
        <w:tc>
          <w:tcPr>
            <w:tcW w:w="8048" w:type="dxa"/>
            <w:tcBorders>
              <w:tl2br w:val="nil"/>
              <w:tr2bl w:val="nil"/>
            </w:tcBorders>
            <w:noWrap w:val="0"/>
            <w:vAlign w:val="top"/>
          </w:tcPr>
          <w:p w14:paraId="5108A655">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所投产品需支持实时监控服务器上发生的无文件攻击（漏洞型攻击、灰色工具型攻击、潜伏型攻击）事件，并对无文件攻击事件进行加白、标记处置等操作。</w:t>
            </w:r>
            <w:r>
              <w:rPr>
                <w:rFonts w:hint="default" w:ascii="宋体" w:hAnsi="宋体" w:eastAsia="宋体"/>
                <w:b/>
                <w:bCs/>
                <w:color w:val="auto"/>
                <w:sz w:val="21"/>
                <w:szCs w:val="21"/>
                <w:highlight w:val="none"/>
              </w:rPr>
              <w:t>（截图证明）</w:t>
            </w:r>
          </w:p>
        </w:tc>
      </w:tr>
      <w:tr w14:paraId="4B27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tcBorders>
              <w:tl2br w:val="nil"/>
              <w:tr2bl w:val="nil"/>
            </w:tcBorders>
            <w:noWrap/>
            <w:vAlign w:val="center"/>
          </w:tcPr>
          <w:p w14:paraId="55D40073">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OOB带外攻击</w:t>
            </w:r>
          </w:p>
        </w:tc>
        <w:tc>
          <w:tcPr>
            <w:tcW w:w="8048" w:type="dxa"/>
            <w:tcBorders>
              <w:tl2br w:val="nil"/>
              <w:tr2bl w:val="nil"/>
            </w:tcBorders>
            <w:noWrap w:val="0"/>
            <w:vAlign w:val="top"/>
          </w:tcPr>
          <w:p w14:paraId="6413FE34">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所投产品需支持OOB带外攻击检测，并支持黑域名的添加与同步。</w:t>
            </w:r>
            <w:r>
              <w:rPr>
                <w:rFonts w:hint="default" w:ascii="宋体" w:hAnsi="宋体" w:eastAsia="宋体"/>
                <w:b/>
                <w:bCs/>
                <w:color w:val="auto"/>
                <w:sz w:val="21"/>
                <w:szCs w:val="21"/>
                <w:highlight w:val="none"/>
              </w:rPr>
              <w:t>（截图证明）</w:t>
            </w:r>
          </w:p>
        </w:tc>
      </w:tr>
      <w:tr w14:paraId="0451E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tcBorders>
              <w:tl2br w:val="nil"/>
              <w:tr2bl w:val="nil"/>
            </w:tcBorders>
            <w:shd w:val="clear" w:color="auto" w:fill="FFFFFF"/>
            <w:noWrap w:val="0"/>
            <w:vAlign w:val="center"/>
          </w:tcPr>
          <w:p w14:paraId="2A8AC0F3">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操作系统加固</w:t>
            </w:r>
          </w:p>
        </w:tc>
        <w:tc>
          <w:tcPr>
            <w:tcW w:w="8048" w:type="dxa"/>
            <w:tcBorders>
              <w:tl2br w:val="nil"/>
              <w:tr2bl w:val="nil"/>
            </w:tcBorders>
            <w:noWrap w:val="0"/>
            <w:vAlign w:val="top"/>
          </w:tcPr>
          <w:p w14:paraId="3FE6718E">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所投产品应提供对操作系统加固能力，针对修改系统可执行文件/引导文件/系统服务/注册表、创建autorun.inf/lpk.dll/usp10.dll等高风险文件、添加系统用户/加载非法驱动/劫持系统引导启动/窃取系统内存密码等高危操作进行加固拦截；加固支持对进程、文件加白，支持开监控模式</w:t>
            </w:r>
          </w:p>
        </w:tc>
      </w:tr>
      <w:tr w14:paraId="334A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vMerge w:val="restart"/>
            <w:tcBorders>
              <w:tl2br w:val="nil"/>
              <w:tr2bl w:val="nil"/>
            </w:tcBorders>
            <w:shd w:val="clear" w:color="auto" w:fill="FFFFFF"/>
            <w:noWrap w:val="0"/>
            <w:vAlign w:val="center"/>
          </w:tcPr>
          <w:p w14:paraId="1F0B35D2">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恶意行为防护</w:t>
            </w:r>
          </w:p>
        </w:tc>
        <w:tc>
          <w:tcPr>
            <w:tcW w:w="8048" w:type="dxa"/>
            <w:tcBorders>
              <w:tl2br w:val="nil"/>
              <w:tr2bl w:val="nil"/>
            </w:tcBorders>
            <w:noWrap w:val="0"/>
            <w:vAlign w:val="center"/>
          </w:tcPr>
          <w:p w14:paraId="2CFEC510">
            <w:pPr>
              <w:keepNext w:val="0"/>
              <w:keepLines w:val="0"/>
              <w:widowControl/>
              <w:suppressLineNumbers w:val="0"/>
              <w:spacing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 \l "_Toc1533190863 "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71"/>
                <w:rFonts w:hint="eastAsia" w:ascii="宋体" w:hAnsi="宋体" w:eastAsia="宋体" w:cs="宋体"/>
                <w:i w:val="0"/>
                <w:iCs w:val="0"/>
                <w:color w:val="auto"/>
                <w:sz w:val="21"/>
                <w:szCs w:val="21"/>
                <w:highlight w:val="none"/>
                <w:u w:val="none"/>
              </w:rPr>
              <w:t>产品应具备阻止攻击者利用powershell远程连接下载恶意程序的能力，可检测并阻断攻击者利用powershell访问互联网行为。</w:t>
            </w:r>
            <w:r>
              <w:rPr>
                <w:rStyle w:val="71"/>
                <w:rFonts w:hint="eastAsia" w:ascii="宋体" w:hAnsi="宋体" w:eastAsia="宋体" w:cs="宋体"/>
                <w:b/>
                <w:bCs/>
                <w:i w:val="0"/>
                <w:iCs w:val="0"/>
                <w:color w:val="auto"/>
                <w:sz w:val="21"/>
                <w:szCs w:val="21"/>
                <w:highlight w:val="none"/>
                <w:u w:val="none"/>
              </w:rPr>
              <w:t>（提供国家级测评中心出具的对应功能测试报告）</w:t>
            </w:r>
            <w:r>
              <w:rPr>
                <w:rFonts w:hint="eastAsia" w:ascii="宋体" w:hAnsi="宋体" w:eastAsia="宋体" w:cs="宋体"/>
                <w:i w:val="0"/>
                <w:iCs w:val="0"/>
                <w:color w:val="auto"/>
                <w:kern w:val="0"/>
                <w:sz w:val="21"/>
                <w:szCs w:val="21"/>
                <w:highlight w:val="none"/>
                <w:u w:val="none"/>
                <w:lang w:val="en-US" w:eastAsia="zh-CN" w:bidi="ar"/>
              </w:rPr>
              <w:fldChar w:fldCharType="end"/>
            </w:r>
          </w:p>
        </w:tc>
      </w:tr>
      <w:tr w14:paraId="2FAE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82" w:type="dxa"/>
            <w:vMerge w:val="continue"/>
            <w:tcBorders>
              <w:tl2br w:val="nil"/>
              <w:tr2bl w:val="nil"/>
            </w:tcBorders>
            <w:shd w:val="clear" w:color="auto" w:fill="FFFFFF"/>
            <w:noWrap w:val="0"/>
            <w:vAlign w:val="center"/>
          </w:tcPr>
          <w:p w14:paraId="778A34C6">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48" w:type="dxa"/>
            <w:tcBorders>
              <w:tl2br w:val="nil"/>
              <w:tr2bl w:val="nil"/>
            </w:tcBorders>
            <w:noWrap w:val="0"/>
            <w:vAlign w:val="center"/>
          </w:tcPr>
          <w:p w14:paraId="0721896F">
            <w:pPr>
              <w:keepNext w:val="0"/>
              <w:keepLines w:val="0"/>
              <w:widowControl/>
              <w:suppressLineNumbers w:val="0"/>
              <w:spacing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产品应具备阻止非授权用户利用psexec工具执行命令的能力，可检测并阻断攻击者利用psexec工具执行命令行为，防止获取服务器超级管理员权限。</w:t>
            </w:r>
          </w:p>
        </w:tc>
      </w:tr>
      <w:tr w14:paraId="3F8E7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82" w:type="dxa"/>
            <w:tcBorders>
              <w:tl2br w:val="nil"/>
              <w:tr2bl w:val="nil"/>
            </w:tcBorders>
            <w:shd w:val="clear" w:color="auto" w:fill="FFFFFF"/>
            <w:noWrap w:val="0"/>
            <w:vAlign w:val="center"/>
          </w:tcPr>
          <w:p w14:paraId="61CDABBD">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防端口扫描</w:t>
            </w:r>
          </w:p>
        </w:tc>
        <w:tc>
          <w:tcPr>
            <w:tcW w:w="8048" w:type="dxa"/>
            <w:tcBorders>
              <w:tl2br w:val="nil"/>
              <w:tr2bl w:val="nil"/>
            </w:tcBorders>
            <w:noWrap w:val="0"/>
            <w:vAlign w:val="top"/>
          </w:tcPr>
          <w:p w14:paraId="2A051735">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所投产品需支持防端口扫描功能，且可设置单个IP请求时间范围、最大扫描端口数量、IP锁定事件等信息；所投产品需支持微蜜罐功能，且可设置返回文本信息以及监听端口</w:t>
            </w:r>
            <w:r>
              <w:rPr>
                <w:rFonts w:hint="default" w:ascii="宋体" w:hAnsi="宋体" w:eastAsia="宋体"/>
                <w:b/>
                <w:bCs/>
                <w:color w:val="auto"/>
                <w:sz w:val="21"/>
                <w:szCs w:val="21"/>
                <w:highlight w:val="none"/>
              </w:rPr>
              <w:t>（截图证明）</w:t>
            </w:r>
          </w:p>
        </w:tc>
      </w:tr>
      <w:tr w14:paraId="607A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1482" w:type="dxa"/>
            <w:vMerge w:val="restart"/>
            <w:tcBorders>
              <w:tl2br w:val="nil"/>
              <w:tr2bl w:val="nil"/>
            </w:tcBorders>
            <w:shd w:val="clear" w:color="auto" w:fill="FFFFFF"/>
            <w:noWrap w:val="0"/>
            <w:vAlign w:val="center"/>
          </w:tcPr>
          <w:p w14:paraId="7A1D914A">
            <w:pPr>
              <w:keepNext w:val="0"/>
              <w:keepLines w:val="0"/>
              <w:widowControl/>
              <w:suppressLineNumbers w:val="0"/>
              <w:spacing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资质</w:t>
            </w:r>
          </w:p>
        </w:tc>
        <w:tc>
          <w:tcPr>
            <w:tcW w:w="8048" w:type="dxa"/>
            <w:tcBorders>
              <w:tl2br w:val="nil"/>
              <w:tr2bl w:val="nil"/>
            </w:tcBorders>
            <w:noWrap w:val="0"/>
            <w:vAlign w:val="top"/>
          </w:tcPr>
          <w:p w14:paraId="5C225142">
            <w:pPr>
              <w:keepNext w:val="0"/>
              <w:keepLines w:val="0"/>
              <w:widowControl/>
              <w:suppressLineNumbers w:val="0"/>
              <w:spacing w:beforeAutospacing="0" w:after="0" w:afterAutospacing="0"/>
              <w:ind w:left="0" w:right="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产品具备网络安全专用产品安全检测证书</w:t>
            </w:r>
            <w:r>
              <w:rPr>
                <w:rFonts w:hint="eastAsia" w:ascii="宋体" w:hAnsi="宋体" w:cs="宋体"/>
                <w:b/>
                <w:bCs/>
                <w:i w:val="0"/>
                <w:iCs w:val="0"/>
                <w:color w:val="auto"/>
                <w:kern w:val="0"/>
                <w:sz w:val="21"/>
                <w:szCs w:val="21"/>
                <w:highlight w:val="none"/>
                <w:u w:val="none"/>
                <w:lang w:val="en-US" w:eastAsia="zh-CN" w:bidi="ar"/>
              </w:rPr>
              <w:t>，提供证书复印件，加盖公章</w:t>
            </w:r>
          </w:p>
        </w:tc>
      </w:tr>
      <w:tr w14:paraId="534BD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482" w:type="dxa"/>
            <w:vMerge w:val="continue"/>
            <w:tcBorders>
              <w:tl2br w:val="nil"/>
              <w:tr2bl w:val="nil"/>
            </w:tcBorders>
            <w:shd w:val="clear" w:color="auto" w:fill="FFFFFF"/>
            <w:noWrap w:val="0"/>
            <w:vAlign w:val="center"/>
          </w:tcPr>
          <w:p w14:paraId="7237598D">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48" w:type="dxa"/>
            <w:tcBorders>
              <w:tl2br w:val="nil"/>
              <w:tr2bl w:val="nil"/>
            </w:tcBorders>
            <w:noWrap w:val="0"/>
            <w:vAlign w:val="top"/>
          </w:tcPr>
          <w:p w14:paraId="7EA1FEEC">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产品具备</w:t>
            </w:r>
            <w:r>
              <w:rPr>
                <w:rFonts w:hint="eastAsia" w:ascii="宋体" w:hAnsi="宋体" w:eastAsia="宋体" w:cs="宋体"/>
                <w:i w:val="0"/>
                <w:iCs w:val="0"/>
                <w:color w:val="auto"/>
                <w:kern w:val="0"/>
                <w:sz w:val="21"/>
                <w:szCs w:val="21"/>
                <w:highlight w:val="none"/>
                <w:u w:val="none"/>
                <w:lang w:val="en-US" w:eastAsia="zh-CN" w:bidi="ar"/>
              </w:rPr>
              <w:t>国家信息安全测评信息技术产品安全测评</w:t>
            </w:r>
            <w:r>
              <w:rPr>
                <w:rFonts w:hint="eastAsia" w:ascii="宋体" w:hAnsi="宋体" w:cs="宋体"/>
                <w:i w:val="0"/>
                <w:iCs w:val="0"/>
                <w:color w:val="auto"/>
                <w:kern w:val="0"/>
                <w:sz w:val="21"/>
                <w:szCs w:val="21"/>
                <w:highlight w:val="none"/>
                <w:u w:val="none"/>
                <w:lang w:val="en-US" w:eastAsia="zh-CN" w:bidi="ar"/>
              </w:rPr>
              <w:t>EAL3+</w:t>
            </w:r>
            <w:r>
              <w:rPr>
                <w:rFonts w:hint="eastAsia" w:ascii="宋体" w:hAnsi="宋体" w:eastAsia="宋体" w:cs="宋体"/>
                <w:i w:val="0"/>
                <w:iCs w:val="0"/>
                <w:color w:val="auto"/>
                <w:kern w:val="0"/>
                <w:sz w:val="21"/>
                <w:szCs w:val="21"/>
                <w:highlight w:val="none"/>
                <w:u w:val="none"/>
                <w:lang w:val="en-US" w:eastAsia="zh-CN" w:bidi="ar"/>
              </w:rPr>
              <w:t>证书</w:t>
            </w:r>
            <w:r>
              <w:rPr>
                <w:rFonts w:hint="eastAsia" w:ascii="宋体" w:hAnsi="宋体" w:cs="宋体"/>
                <w:b/>
                <w:bCs/>
                <w:i w:val="0"/>
                <w:iCs w:val="0"/>
                <w:color w:val="auto"/>
                <w:kern w:val="0"/>
                <w:sz w:val="21"/>
                <w:szCs w:val="21"/>
                <w:highlight w:val="none"/>
                <w:u w:val="none"/>
                <w:lang w:val="en-US" w:eastAsia="zh-CN" w:bidi="ar"/>
              </w:rPr>
              <w:t>，提供证书复印件，加盖公章</w:t>
            </w:r>
          </w:p>
        </w:tc>
      </w:tr>
      <w:tr w14:paraId="2543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82" w:type="dxa"/>
            <w:vMerge w:val="continue"/>
            <w:tcBorders>
              <w:tl2br w:val="nil"/>
              <w:tr2bl w:val="nil"/>
            </w:tcBorders>
            <w:shd w:val="clear" w:color="auto" w:fill="FFFFFF"/>
            <w:noWrap w:val="0"/>
            <w:vAlign w:val="center"/>
          </w:tcPr>
          <w:p w14:paraId="14AB0CC4">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48" w:type="dxa"/>
            <w:tcBorders>
              <w:tl2br w:val="nil"/>
              <w:tr2bl w:val="nil"/>
            </w:tcBorders>
            <w:noWrap w:val="0"/>
            <w:vAlign w:val="top"/>
          </w:tcPr>
          <w:p w14:paraId="5E026A1F">
            <w:pPr>
              <w:keepNext w:val="0"/>
              <w:keepLines w:val="0"/>
              <w:widowControl/>
              <w:suppressLineNumbers w:val="0"/>
              <w:spacing w:beforeAutospacing="0" w:after="0" w:afterAutospacing="0"/>
              <w:ind w:left="0" w:right="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产品通过信通院《云工作负载保护平台能力要求》</w:t>
            </w:r>
            <w:r>
              <w:rPr>
                <w:rFonts w:hint="eastAsia" w:ascii="宋体" w:hAnsi="宋体" w:eastAsia="宋体" w:cs="宋体"/>
                <w:b/>
                <w:bCs/>
                <w:color w:val="auto"/>
                <w:sz w:val="21"/>
                <w:szCs w:val="21"/>
                <w:highlight w:val="none"/>
                <w:vertAlign w:val="baseline"/>
              </w:rPr>
              <w:t>，提供检验证书材料</w:t>
            </w:r>
            <w:r>
              <w:rPr>
                <w:rFonts w:hint="eastAsia" w:ascii="宋体" w:hAnsi="宋体" w:eastAsia="宋体" w:cs="宋体"/>
                <w:b/>
                <w:bCs/>
                <w:color w:val="auto"/>
                <w:sz w:val="21"/>
                <w:szCs w:val="21"/>
                <w:highlight w:val="none"/>
                <w:vertAlign w:val="baseline"/>
                <w:lang w:eastAsia="zh-CN"/>
              </w:rPr>
              <w:t>，</w:t>
            </w:r>
            <w:r>
              <w:rPr>
                <w:rFonts w:hint="eastAsia" w:ascii="宋体" w:hAnsi="宋体" w:cs="宋体"/>
                <w:b/>
                <w:bCs/>
                <w:i w:val="0"/>
                <w:iCs w:val="0"/>
                <w:color w:val="auto"/>
                <w:kern w:val="0"/>
                <w:sz w:val="21"/>
                <w:szCs w:val="21"/>
                <w:highlight w:val="none"/>
                <w:u w:val="none"/>
                <w:lang w:val="en-US" w:eastAsia="zh-CN" w:bidi="ar"/>
              </w:rPr>
              <w:t>加盖公章</w:t>
            </w:r>
          </w:p>
        </w:tc>
      </w:tr>
      <w:tr w14:paraId="61EE4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482" w:type="dxa"/>
            <w:vMerge w:val="continue"/>
            <w:tcBorders>
              <w:tl2br w:val="nil"/>
              <w:tr2bl w:val="nil"/>
            </w:tcBorders>
            <w:shd w:val="clear" w:color="auto" w:fill="FFFFFF"/>
            <w:noWrap w:val="0"/>
            <w:vAlign w:val="center"/>
          </w:tcPr>
          <w:p w14:paraId="0AC37989">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48" w:type="dxa"/>
            <w:tcBorders>
              <w:tl2br w:val="nil"/>
              <w:tr2bl w:val="nil"/>
            </w:tcBorders>
            <w:noWrap w:val="0"/>
            <w:vAlign w:val="top"/>
          </w:tcPr>
          <w:p w14:paraId="58D45678">
            <w:pPr>
              <w:keepNext w:val="0"/>
              <w:keepLines w:val="0"/>
              <w:widowControl/>
              <w:suppressLineNumbers w:val="0"/>
              <w:spacing w:beforeAutospacing="0" w:after="0" w:afterAutospacing="0"/>
              <w:ind w:left="0" w:right="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CCRC信息安全服务资质-软件安全开发</w:t>
            </w:r>
            <w:r>
              <w:rPr>
                <w:rFonts w:hint="eastAsia" w:ascii="宋体" w:hAnsi="宋体" w:cs="宋体"/>
                <w:i w:val="0"/>
                <w:iCs w:val="0"/>
                <w:color w:val="auto"/>
                <w:kern w:val="0"/>
                <w:sz w:val="21"/>
                <w:szCs w:val="21"/>
                <w:highlight w:val="none"/>
                <w:u w:val="none"/>
                <w:lang w:val="en-US" w:eastAsia="zh-CN" w:bidi="ar"/>
              </w:rPr>
              <w:t>一级证书</w:t>
            </w:r>
            <w:r>
              <w:rPr>
                <w:rFonts w:hint="eastAsia" w:ascii="宋体" w:hAnsi="宋体" w:cs="宋体"/>
                <w:b/>
                <w:bCs/>
                <w:i w:val="0"/>
                <w:iCs w:val="0"/>
                <w:color w:val="auto"/>
                <w:kern w:val="0"/>
                <w:sz w:val="21"/>
                <w:szCs w:val="21"/>
                <w:highlight w:val="none"/>
                <w:u w:val="none"/>
                <w:lang w:val="en-US" w:eastAsia="zh-CN" w:bidi="ar"/>
              </w:rPr>
              <w:t>，提供证书复印件，加盖公章</w:t>
            </w:r>
          </w:p>
        </w:tc>
      </w:tr>
      <w:tr w14:paraId="0405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482" w:type="dxa"/>
            <w:vMerge w:val="continue"/>
            <w:tcBorders>
              <w:tl2br w:val="nil"/>
              <w:tr2bl w:val="nil"/>
            </w:tcBorders>
            <w:shd w:val="clear" w:color="auto" w:fill="FFFFFF"/>
            <w:noWrap w:val="0"/>
            <w:vAlign w:val="center"/>
          </w:tcPr>
          <w:p w14:paraId="5DA24F86">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48" w:type="dxa"/>
            <w:tcBorders>
              <w:tl2br w:val="nil"/>
              <w:tr2bl w:val="nil"/>
            </w:tcBorders>
            <w:noWrap w:val="0"/>
            <w:vAlign w:val="top"/>
          </w:tcPr>
          <w:p w14:paraId="34D2092E">
            <w:pPr>
              <w:keepNext w:val="0"/>
              <w:keepLines w:val="0"/>
              <w:widowControl/>
              <w:suppressLineNumbers w:val="0"/>
              <w:spacing w:beforeAutospacing="0" w:after="0" w:afterAutospacing="0"/>
              <w:ind w:left="0" w:right="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国测信息安全服务资质-数据安全类</w:t>
            </w:r>
            <w:r>
              <w:rPr>
                <w:rFonts w:hint="eastAsia" w:ascii="宋体" w:hAnsi="宋体" w:cs="宋体"/>
                <w:i w:val="0"/>
                <w:iCs w:val="0"/>
                <w:color w:val="auto"/>
                <w:kern w:val="0"/>
                <w:sz w:val="21"/>
                <w:szCs w:val="21"/>
                <w:highlight w:val="none"/>
                <w:u w:val="none"/>
                <w:lang w:val="en-US" w:eastAsia="zh-CN" w:bidi="ar"/>
              </w:rPr>
              <w:t>一级证书</w:t>
            </w:r>
            <w:r>
              <w:rPr>
                <w:rFonts w:hint="eastAsia" w:ascii="宋体" w:hAnsi="宋体" w:cs="宋体"/>
                <w:b/>
                <w:bCs/>
                <w:i w:val="0"/>
                <w:iCs w:val="0"/>
                <w:color w:val="auto"/>
                <w:kern w:val="0"/>
                <w:sz w:val="21"/>
                <w:szCs w:val="21"/>
                <w:highlight w:val="none"/>
                <w:u w:val="none"/>
                <w:lang w:val="en-US" w:eastAsia="zh-CN" w:bidi="ar"/>
              </w:rPr>
              <w:t>，提供证书复印件，加盖公章</w:t>
            </w:r>
          </w:p>
        </w:tc>
      </w:tr>
      <w:tr w14:paraId="47601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482" w:type="dxa"/>
            <w:vMerge w:val="continue"/>
            <w:tcBorders>
              <w:tl2br w:val="nil"/>
              <w:tr2bl w:val="nil"/>
            </w:tcBorders>
            <w:shd w:val="clear" w:color="auto" w:fill="FFFFFF"/>
            <w:noWrap w:val="0"/>
            <w:vAlign w:val="center"/>
          </w:tcPr>
          <w:p w14:paraId="371A1698">
            <w:pPr>
              <w:keepNext w:val="0"/>
              <w:keepLines w:val="0"/>
              <w:widowControl/>
              <w:suppressLineNumbers w:val="0"/>
              <w:spacing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48" w:type="dxa"/>
            <w:tcBorders>
              <w:tl2br w:val="nil"/>
              <w:tr2bl w:val="nil"/>
            </w:tcBorders>
            <w:noWrap w:val="0"/>
            <w:vAlign w:val="top"/>
          </w:tcPr>
          <w:p w14:paraId="60A0C849">
            <w:pPr>
              <w:keepNext w:val="0"/>
              <w:keepLines w:val="0"/>
              <w:widowControl/>
              <w:suppressLineNumbers w:val="0"/>
              <w:spacing w:beforeAutospacing="0" w:after="0" w:afterAutospacing="0"/>
              <w:ind w:left="0" w:right="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ISO27701隐私信息管理体系证书，</w:t>
            </w:r>
            <w:r>
              <w:rPr>
                <w:rFonts w:hint="eastAsia" w:ascii="宋体" w:hAnsi="宋体" w:cs="宋体"/>
                <w:b/>
                <w:bCs/>
                <w:i w:val="0"/>
                <w:iCs w:val="0"/>
                <w:color w:val="auto"/>
                <w:kern w:val="0"/>
                <w:sz w:val="21"/>
                <w:szCs w:val="21"/>
                <w:highlight w:val="none"/>
                <w:u w:val="none"/>
                <w:lang w:val="en-US" w:eastAsia="zh-CN" w:bidi="ar"/>
              </w:rPr>
              <w:t>提供证书复印件，加盖公章</w:t>
            </w:r>
          </w:p>
        </w:tc>
      </w:tr>
    </w:tbl>
    <w:p w14:paraId="6BD1D604">
      <w:pPr>
        <w:adjustRightInd w:val="0"/>
        <w:snapToGrid w:val="0"/>
        <w:spacing w:line="360" w:lineRule="auto"/>
        <w:ind w:firstLine="480" w:firstLineChars="200"/>
        <w:outlineLvl w:val="2"/>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、本项目采用最低投标价法评标，投标文件应对招标文件提出的所有实质性要求作出实质性响应。</w:t>
      </w:r>
    </w:p>
    <w:p w14:paraId="079E656E">
      <w:pPr>
        <w:adjustRightInd w:val="0"/>
        <w:snapToGrid w:val="0"/>
        <w:spacing w:line="360" w:lineRule="auto"/>
        <w:ind w:firstLine="480" w:firstLineChars="200"/>
        <w:outlineLvl w:val="2"/>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、投标人有效报价中的最低价中标。有效报价是投标人的报价低于招标人设定的最高限价（总价、单价均低于）。</w:t>
      </w:r>
    </w:p>
    <w:p w14:paraId="6D40CF73">
      <w:pPr>
        <w:adjustRightInd w:val="0"/>
        <w:snapToGrid w:val="0"/>
        <w:spacing w:line="360" w:lineRule="auto"/>
        <w:ind w:firstLine="480" w:firstLineChars="200"/>
        <w:outlineLvl w:val="2"/>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评标委员会按照经评审的有效报价由低到高的顺序推荐中标候选人。经评审最低报价相同的中标候选人，由评标委员会抽签确定中标人。</w:t>
      </w:r>
    </w:p>
    <w:p w14:paraId="508F1717">
      <w:pPr>
        <w:adjustRightInd w:val="0"/>
        <w:snapToGrid w:val="0"/>
        <w:spacing w:line="360" w:lineRule="auto"/>
        <w:ind w:firstLine="480" w:firstLineChars="200"/>
        <w:outlineLvl w:val="2"/>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、中标人放弃中标，因不可抗力提出不能履行合同</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招标人将按规定确定第二中标候选人为中标人。如果第二中标候选人因上述原因放弃中标的，招标人将按规定确定第三中标候选人为中标人，也可以重新招标。</w:t>
      </w:r>
    </w:p>
    <w:p w14:paraId="4D8D60E6">
      <w:pPr>
        <w:adjustRightInd w:val="0"/>
        <w:snapToGrid w:val="0"/>
        <w:spacing w:line="360" w:lineRule="auto"/>
        <w:ind w:firstLine="480" w:firstLineChars="200"/>
        <w:outlineLvl w:val="2"/>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、中标单位在取得《中标通知书》后，在中标通知书规定的时间内，凭中标通知书由法定代表人或授权委托人前往招标方签订合同。</w:t>
      </w:r>
    </w:p>
    <w:p w14:paraId="77F7371A">
      <w:pPr>
        <w:adjustRightInd w:val="0"/>
        <w:snapToGrid w:val="0"/>
        <w:spacing w:line="360" w:lineRule="auto"/>
        <w:ind w:firstLine="480" w:firstLineChars="200"/>
        <w:outlineLvl w:val="2"/>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7、本项目采用</w:t>
      </w:r>
      <w:r>
        <w:rPr>
          <w:rFonts w:hint="eastAsia" w:ascii="宋体" w:hAnsi="宋体" w:cs="仿宋_GB2312"/>
          <w:color w:val="auto"/>
          <w:sz w:val="24"/>
          <w:highlight w:val="none"/>
        </w:rPr>
        <w:t>低投标价法，评标结果按</w:t>
      </w:r>
      <w:r>
        <w:rPr>
          <w:rFonts w:hint="eastAsia" w:ascii="宋体" w:hAnsi="宋体" w:cs="仿宋_GB2312"/>
          <w:color w:val="auto"/>
          <w:sz w:val="24"/>
          <w:highlight w:val="none"/>
          <w:lang w:val="en-US" w:eastAsia="zh-CN"/>
        </w:rPr>
        <w:t>报价</w:t>
      </w:r>
      <w:r>
        <w:rPr>
          <w:rFonts w:hint="eastAsia" w:ascii="宋体" w:hAnsi="宋体" w:cs="仿宋_GB2312"/>
          <w:color w:val="auto"/>
          <w:sz w:val="24"/>
          <w:highlight w:val="none"/>
        </w:rPr>
        <w:t>由</w:t>
      </w:r>
      <w:r>
        <w:rPr>
          <w:rFonts w:hint="eastAsia" w:ascii="宋体" w:hAnsi="宋体" w:cs="仿宋_GB2312"/>
          <w:color w:val="auto"/>
          <w:sz w:val="24"/>
          <w:highlight w:val="none"/>
          <w:lang w:val="en-US" w:eastAsia="zh-CN"/>
        </w:rPr>
        <w:t>低</w:t>
      </w:r>
      <w:r>
        <w:rPr>
          <w:rFonts w:hint="eastAsia" w:ascii="宋体" w:hAnsi="宋体" w:cs="仿宋_GB2312"/>
          <w:color w:val="auto"/>
          <w:sz w:val="24"/>
          <w:highlight w:val="none"/>
        </w:rPr>
        <w:t>到</w:t>
      </w:r>
      <w:r>
        <w:rPr>
          <w:rFonts w:hint="eastAsia" w:ascii="宋体" w:hAnsi="宋体" w:cs="仿宋_GB2312"/>
          <w:color w:val="auto"/>
          <w:sz w:val="24"/>
          <w:highlight w:val="none"/>
          <w:lang w:val="en-US" w:eastAsia="zh-CN"/>
        </w:rPr>
        <w:t>高</w:t>
      </w:r>
      <w:r>
        <w:rPr>
          <w:rFonts w:hint="eastAsia" w:ascii="宋体" w:hAnsi="宋体" w:cs="仿宋_GB2312"/>
          <w:color w:val="auto"/>
          <w:sz w:val="24"/>
          <w:highlight w:val="none"/>
        </w:rPr>
        <w:t>顺序排列。</w:t>
      </w:r>
      <w:r>
        <w:rPr>
          <w:rFonts w:hint="eastAsia" w:ascii="宋体" w:hAnsi="宋体" w:cs="仿宋_GB2312"/>
          <w:color w:val="auto"/>
          <w:sz w:val="24"/>
          <w:highlight w:val="none"/>
          <w:lang w:val="en-US" w:eastAsia="zh-CN"/>
        </w:rPr>
        <w:t>报价</w:t>
      </w:r>
      <w:r>
        <w:rPr>
          <w:rFonts w:hint="eastAsia" w:ascii="宋体" w:hAnsi="宋体" w:cs="仿宋_GB2312"/>
          <w:color w:val="auto"/>
          <w:sz w:val="24"/>
          <w:highlight w:val="none"/>
        </w:rPr>
        <w:t>相同的，采取随机抽取的方式确定。</w:t>
      </w:r>
    </w:p>
    <w:p w14:paraId="65ECC44B">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九、出现下列情形之一的，作无效投标处理：</w:t>
      </w:r>
    </w:p>
    <w:p w14:paraId="119E6174">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1、投标文件未按招标文件要求签署、盖章的；</w:t>
      </w:r>
    </w:p>
    <w:p w14:paraId="3705DA60">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2、不具备招标文件中规定的资格要求的；</w:t>
      </w:r>
    </w:p>
    <w:p w14:paraId="4A7F2C58">
      <w:pPr>
        <w:snapToGrid w:val="0"/>
        <w:spacing w:line="360" w:lineRule="auto"/>
        <w:ind w:firstLine="573"/>
        <w:rPr>
          <w:rFonts w:ascii="宋体" w:hAnsi="宋体" w:cs="宋体"/>
          <w:color w:val="auto"/>
          <w:sz w:val="24"/>
          <w:highlight w:val="none"/>
        </w:rPr>
      </w:pPr>
      <w:bookmarkStart w:id="17" w:name="_Hlk81473737"/>
      <w:r>
        <w:rPr>
          <w:rFonts w:hint="eastAsia" w:ascii="宋体" w:hAnsi="宋体" w:cs="宋体"/>
          <w:color w:val="auto"/>
          <w:sz w:val="24"/>
          <w:highlight w:val="none"/>
        </w:rPr>
        <w:t>3、投标人的资格证明文件不符合本采购文件要求的；</w:t>
      </w:r>
    </w:p>
    <w:bookmarkEnd w:id="17"/>
    <w:p w14:paraId="5FDC7EB8">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、报价超过招标文件中规定的预算金额或者最高限价的；</w:t>
      </w:r>
    </w:p>
    <w:p w14:paraId="41C13F4D">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、投标文件含有采购人不能接受的附加条件的；</w:t>
      </w:r>
    </w:p>
    <w:p w14:paraId="5C8D2B1A">
      <w:pPr>
        <w:snapToGrid w:val="0"/>
        <w:spacing w:line="360" w:lineRule="auto"/>
        <w:ind w:firstLine="573"/>
        <w:rPr>
          <w:rFonts w:ascii="宋体" w:hAnsi="宋体" w:cs="宋体"/>
          <w:color w:val="auto"/>
          <w:sz w:val="24"/>
          <w:highlight w:val="none"/>
        </w:rPr>
      </w:pPr>
      <w:bookmarkStart w:id="18" w:name="_Hlk81473764"/>
      <w:r>
        <w:rPr>
          <w:rFonts w:hint="eastAsia" w:ascii="宋体" w:hAnsi="宋体" w:cs="宋体"/>
          <w:color w:val="auto"/>
          <w:sz w:val="24"/>
          <w:highlight w:val="none"/>
        </w:rPr>
        <w:t>6、投标人有欺诈行为或隐瞒自身违规问题的，提供虚假、伪造、变造、过期资料的；</w:t>
      </w:r>
    </w:p>
    <w:bookmarkEnd w:id="18"/>
    <w:p w14:paraId="262436E3">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、法律、法规和招标文件规定的其他无效情形。</w:t>
      </w:r>
    </w:p>
    <w:p w14:paraId="61E5B0A0">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十、有下列情形之一的，视为投标人串通投标，其投标无效</w:t>
      </w:r>
    </w:p>
    <w:p w14:paraId="7A22ACF1">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、不同投标人的投标文件由同一单位或者个人编制；</w:t>
      </w:r>
    </w:p>
    <w:p w14:paraId="70347DCB">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、不同投标人委托同一单位或者个人办理投标事宜；</w:t>
      </w:r>
    </w:p>
    <w:p w14:paraId="42DC07EF">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、不同投标人的投标文件载明的项目管理成员或者联系人员为同一人；</w:t>
      </w:r>
    </w:p>
    <w:p w14:paraId="7A1F3C7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、不同投标人的投标文件异常一致或者投标报价呈规律性差异；</w:t>
      </w:r>
    </w:p>
    <w:p w14:paraId="1C953F43">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、不同投标人的投标文件相互混装。</w:t>
      </w:r>
    </w:p>
    <w:p w14:paraId="2DD269CD">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、出现下列情形之一的，作废标处理：</w:t>
      </w:r>
      <w:r>
        <w:rPr>
          <w:rFonts w:ascii="宋体" w:hAnsi="宋体"/>
          <w:b/>
          <w:color w:val="auto"/>
          <w:sz w:val="24"/>
          <w:highlight w:val="none"/>
        </w:rPr>
        <w:t xml:space="preserve"> </w:t>
      </w:r>
    </w:p>
    <w:p w14:paraId="749ED57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、出现影响采购公正的违法违规行为的；</w:t>
      </w:r>
    </w:p>
    <w:p w14:paraId="156C66E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、所有投标人报价超出采购预算价的；</w:t>
      </w:r>
    </w:p>
    <w:p w14:paraId="1BDB3F1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、因重大变故，采购任务被取消的；</w:t>
      </w:r>
    </w:p>
    <w:p w14:paraId="0F45F9B4">
      <w:pPr>
        <w:snapToGrid w:val="0"/>
        <w:spacing w:line="360" w:lineRule="auto"/>
        <w:ind w:firstLine="480" w:firstLineChars="200"/>
        <w:rPr>
          <w:rFonts w:ascii="宋体" w:hAnsi="宋体"/>
          <w:color w:val="auto"/>
          <w:sz w:val="24"/>
          <w:highlight w:val="none"/>
        </w:rPr>
      </w:pPr>
      <w:bookmarkStart w:id="19" w:name="_Hlk81473907"/>
      <w:r>
        <w:rPr>
          <w:rFonts w:hint="eastAsia" w:ascii="宋体" w:hAnsi="宋体"/>
          <w:color w:val="auto"/>
          <w:sz w:val="24"/>
          <w:highlight w:val="none"/>
        </w:rPr>
        <w:t>4、经评标委员会</w:t>
      </w:r>
      <w:bookmarkStart w:id="20" w:name="_Hlk81472270"/>
      <w:r>
        <w:rPr>
          <w:rFonts w:hint="eastAsia" w:ascii="宋体" w:hAnsi="宋体"/>
          <w:color w:val="auto"/>
          <w:sz w:val="24"/>
          <w:highlight w:val="none"/>
        </w:rPr>
        <w:t>资格符合性评审</w:t>
      </w:r>
      <w:bookmarkEnd w:id="20"/>
      <w:r>
        <w:rPr>
          <w:rFonts w:hint="eastAsia" w:ascii="宋体" w:hAnsi="宋体"/>
          <w:color w:val="auto"/>
          <w:sz w:val="24"/>
          <w:highlight w:val="none"/>
        </w:rPr>
        <w:t>后，通过资格符合性评审的投标人不足三家的；</w:t>
      </w:r>
    </w:p>
    <w:bookmarkEnd w:id="19"/>
    <w:p w14:paraId="57AD285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、评标委员会依据法律法规可以认定为废标的其他情况。</w:t>
      </w:r>
    </w:p>
    <w:p w14:paraId="7054D478">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、中标通知</w:t>
      </w:r>
    </w:p>
    <w:p w14:paraId="17EAA5F6">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、开标结束后，采购人自中标人确定之日起</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个工作日内在指定媒体上公告中标结果。</w:t>
      </w:r>
    </w:p>
    <w:p w14:paraId="2FAECCDC">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2</w:t>
      </w:r>
      <w:r>
        <w:rPr>
          <w:rFonts w:hint="eastAsia" w:ascii="宋体" w:hAnsi="宋体"/>
          <w:color w:val="auto"/>
          <w:kern w:val="0"/>
          <w:sz w:val="24"/>
          <w:highlight w:val="none"/>
        </w:rPr>
        <w:t>、中标公告期限为</w:t>
      </w:r>
      <w:r>
        <w:rPr>
          <w:rFonts w:ascii="宋体" w:hAnsi="宋体"/>
          <w:color w:val="auto"/>
          <w:kern w:val="0"/>
          <w:sz w:val="24"/>
          <w:highlight w:val="none"/>
        </w:rPr>
        <w:t>1</w:t>
      </w:r>
      <w:r>
        <w:rPr>
          <w:rFonts w:hint="eastAsia" w:ascii="宋体" w:hAnsi="宋体"/>
          <w:color w:val="auto"/>
          <w:kern w:val="0"/>
          <w:sz w:val="24"/>
          <w:highlight w:val="none"/>
        </w:rPr>
        <w:t>个工作日，期限结束后向中标人发出《中标通知书》。</w:t>
      </w:r>
    </w:p>
    <w:p w14:paraId="4AE22449">
      <w:pPr>
        <w:snapToGrid w:val="0"/>
        <w:spacing w:line="360" w:lineRule="auto"/>
        <w:ind w:firstLine="480" w:firstLineChars="200"/>
        <w:outlineLvl w:val="1"/>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、《中标通知书》一经发出，即具有法律效力。采购人、中标人依法承担法律责任。</w:t>
      </w:r>
    </w:p>
    <w:p w14:paraId="1C568D9F">
      <w:pPr>
        <w:pStyle w:val="2"/>
        <w:spacing w:before="120" w:after="120" w:line="600" w:lineRule="exact"/>
        <w:jc w:val="center"/>
        <w:rPr>
          <w:rFonts w:ascii="宋体" w:hAnsi="宋体"/>
          <w:color w:val="auto"/>
          <w:highlight w:val="none"/>
        </w:rPr>
      </w:pPr>
      <w:r>
        <w:rPr>
          <w:rFonts w:ascii="宋体" w:hAnsi="宋体"/>
          <w:color w:val="auto"/>
          <w:highlight w:val="none"/>
        </w:rPr>
        <w:br w:type="page"/>
      </w:r>
      <w:bookmarkStart w:id="21" w:name="_Toc179632627"/>
      <w:bookmarkStart w:id="22" w:name="_Toc152045609"/>
      <w:bookmarkStart w:id="23" w:name="_Toc318874023"/>
      <w:bookmarkStart w:id="24" w:name="_Toc152042387"/>
      <w:bookmarkStart w:id="25" w:name="_Toc144974577"/>
      <w:r>
        <w:rPr>
          <w:rStyle w:val="121"/>
          <w:rFonts w:hint="eastAsia" w:cs="Times New Roman"/>
          <w:b/>
          <w:bCs/>
          <w:color w:val="auto"/>
          <w:kern w:val="2"/>
          <w:sz w:val="28"/>
          <w:szCs w:val="28"/>
          <w:highlight w:val="none"/>
          <w:lang w:bidi="ar-SA"/>
        </w:rPr>
        <w:t>第</w:t>
      </w:r>
      <w:r>
        <w:rPr>
          <w:rStyle w:val="121"/>
          <w:rFonts w:hint="eastAsia" w:cs="Times New Roman"/>
          <w:b/>
          <w:bCs/>
          <w:color w:val="auto"/>
          <w:kern w:val="2"/>
          <w:sz w:val="28"/>
          <w:szCs w:val="28"/>
          <w:highlight w:val="none"/>
          <w:lang w:eastAsia="zh-CN" w:bidi="ar-SA"/>
        </w:rPr>
        <w:t>五</w:t>
      </w:r>
      <w:r>
        <w:rPr>
          <w:rStyle w:val="121"/>
          <w:rFonts w:hint="eastAsia" w:cs="Times New Roman"/>
          <w:b/>
          <w:bCs/>
          <w:color w:val="auto"/>
          <w:kern w:val="2"/>
          <w:sz w:val="28"/>
          <w:szCs w:val="28"/>
          <w:highlight w:val="none"/>
          <w:lang w:bidi="ar-SA"/>
        </w:rPr>
        <w:t>章 合同条款及格式</w:t>
      </w:r>
      <w:bookmarkEnd w:id="21"/>
      <w:bookmarkEnd w:id="22"/>
      <w:bookmarkEnd w:id="23"/>
      <w:bookmarkEnd w:id="24"/>
      <w:bookmarkEnd w:id="25"/>
    </w:p>
    <w:p w14:paraId="77E0BB6D">
      <w:pPr>
        <w:rPr>
          <w:color w:val="auto"/>
          <w:highlight w:val="none"/>
        </w:rPr>
      </w:pPr>
    </w:p>
    <w:p w14:paraId="7BBFCFD0">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委托方（以下简称甲方）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507E60FE">
      <w:pPr>
        <w:spacing w:beforeLines="50" w:afterLines="50"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承揽方（以下简称乙方）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91FA8AB">
      <w:pPr>
        <w:spacing w:beforeLines="50" w:afterLines="50" w:line="360" w:lineRule="auto"/>
        <w:ind w:firstLine="480" w:firstLineChars="200"/>
        <w:rPr>
          <w:rFonts w:eastAsia="隶书"/>
          <w:color w:val="auto"/>
          <w:szCs w:val="28"/>
          <w:highlight w:val="none"/>
        </w:rPr>
      </w:pPr>
      <w:r>
        <w:rPr>
          <w:rFonts w:hint="eastAsia" w:ascii="宋体" w:hAnsi="宋体" w:cs="宋体"/>
          <w:color w:val="auto"/>
          <w:sz w:val="24"/>
          <w:highlight w:val="none"/>
        </w:rPr>
        <w:t xml:space="preserve">甲乙双方就上述事项达成如下协议：  </w:t>
      </w:r>
      <w:r>
        <w:rPr>
          <w:rFonts w:hint="eastAsia" w:eastAsia="隶书"/>
          <w:color w:val="auto"/>
          <w:sz w:val="28"/>
          <w:szCs w:val="28"/>
          <w:highlight w:val="none"/>
        </w:rPr>
        <w:t xml:space="preserve">               </w:t>
      </w:r>
    </w:p>
    <w:p w14:paraId="778F85DB">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一、范围和内容</w:t>
      </w:r>
    </w:p>
    <w:p w14:paraId="0791EF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1、项目名称：</w:t>
      </w:r>
      <w:r>
        <w:rPr>
          <w:rFonts w:hint="eastAsia" w:ascii="宋体" w:hAnsi="宋体" w:cs="宋体"/>
          <w:color w:val="auto"/>
          <w:sz w:val="24"/>
          <w:highlight w:val="none"/>
          <w:u w:val="single"/>
        </w:rPr>
        <w:t xml:space="preserve">                       </w:t>
      </w:r>
    </w:p>
    <w:p w14:paraId="34433F94">
      <w:pPr>
        <w:spacing w:line="360" w:lineRule="auto"/>
        <w:ind w:firstLine="480"/>
        <w:rPr>
          <w:rFonts w:ascii="宋体" w:hAnsi="宋体" w:cs="宋体"/>
          <w:bCs/>
          <w:color w:val="auto"/>
          <w:kern w:val="0"/>
          <w:sz w:val="24"/>
          <w:highlight w:val="none"/>
        </w:rPr>
      </w:pPr>
      <w:r>
        <w:rPr>
          <w:rFonts w:hint="eastAsia" w:ascii="宋体" w:hAnsi="宋体" w:cs="宋体"/>
          <w:color w:val="auto"/>
          <w:sz w:val="24"/>
          <w:highlight w:val="none"/>
        </w:rPr>
        <w:t>2、</w:t>
      </w:r>
      <w:r>
        <w:rPr>
          <w:rFonts w:hint="eastAsia" w:ascii="宋体" w:hAnsi="宋体" w:cs="宋体"/>
          <w:bCs/>
          <w:color w:val="auto"/>
          <w:kern w:val="0"/>
          <w:sz w:val="24"/>
          <w:highlight w:val="none"/>
        </w:rPr>
        <w:t>项目地点：</w:t>
      </w:r>
      <w:r>
        <w:rPr>
          <w:rFonts w:hint="eastAsia" w:ascii="宋体" w:hAnsi="宋体" w:cs="宋体"/>
          <w:color w:val="auto"/>
          <w:sz w:val="24"/>
          <w:highlight w:val="none"/>
          <w:u w:val="single"/>
        </w:rPr>
        <w:t xml:space="preserve">                       </w:t>
      </w:r>
    </w:p>
    <w:p w14:paraId="273C0B30">
      <w:pPr>
        <w:spacing w:line="360" w:lineRule="auto"/>
        <w:ind w:firstLine="480"/>
        <w:rPr>
          <w:rFonts w:hint="eastAsia" w:ascii="宋体" w:hAnsi="宋体" w:cs="宋体"/>
          <w:bCs/>
          <w:color w:val="auto"/>
          <w:kern w:val="0"/>
          <w:sz w:val="24"/>
          <w:highlight w:val="none"/>
        </w:rPr>
      </w:pPr>
      <w:r>
        <w:rPr>
          <w:rFonts w:hint="eastAsia" w:ascii="宋体" w:hAnsi="宋体" w:cs="宋体"/>
          <w:bCs/>
          <w:color w:val="auto"/>
          <w:kern w:val="0"/>
          <w:sz w:val="24"/>
          <w:highlight w:val="none"/>
        </w:rPr>
        <w:t>3、项目服务内容：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47"/>
        <w:gridCol w:w="5114"/>
        <w:gridCol w:w="2381"/>
      </w:tblGrid>
      <w:tr w14:paraId="6BE2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0BF6652B">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序号</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13C26D2">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服务名称</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2F8BB1CA">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服务内容</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9F10355">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服务频率/交付</w:t>
            </w:r>
          </w:p>
        </w:tc>
      </w:tr>
      <w:tr w14:paraId="4159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388D3E6F">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1</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CDB06B2">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漏洞扫描服务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BCC2336">
            <w:pPr>
              <w:pStyle w:val="56"/>
              <w:snapToGrid w:val="0"/>
              <w:spacing w:before="0" w:beforeAutospacing="0" w:after="0" w:afterAutospacing="0"/>
              <w:jc w:val="both"/>
              <w:rPr>
                <w:rFonts w:hint="eastAsia"/>
                <w:b w:val="0"/>
                <w:bCs/>
                <w:color w:val="auto"/>
                <w:highlight w:val="none"/>
              </w:rPr>
            </w:pPr>
            <w:r>
              <w:rPr>
                <w:rFonts w:hint="eastAsia"/>
                <w:b w:val="0"/>
                <w:bCs/>
                <w:color w:val="auto"/>
                <w:highlight w:val="none"/>
              </w:rPr>
              <w:t>1、对网络设备、安全设备、服务器以及业务应用系统进行漏洞扫描服务，并出具相关报告；</w:t>
            </w:r>
          </w:p>
          <w:p w14:paraId="5A4E2152">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rPr>
              <w:t>2、有新设备或新业务上线时，对业务及设备进行安全扫描检查，并提供结果报告</w:t>
            </w:r>
            <w:r>
              <w:rPr>
                <w:rFonts w:hint="eastAsia"/>
                <w:b w:val="0"/>
                <w:bCs/>
                <w:color w:val="auto"/>
                <w:highlight w:val="none"/>
                <w:lang w:eastAsia="zh-CN"/>
              </w:rPr>
              <w:t>，</w:t>
            </w:r>
            <w:r>
              <w:rPr>
                <w:rFonts w:hint="eastAsia"/>
                <w:b w:val="0"/>
                <w:bCs/>
                <w:color w:val="auto"/>
                <w:highlight w:val="none"/>
                <w:lang w:val="en-US" w:eastAsia="zh-CN"/>
              </w:rPr>
              <w:t>交付</w:t>
            </w:r>
            <w:r>
              <w:rPr>
                <w:rFonts w:hint="eastAsia" w:ascii="宋体" w:hAnsi="宋体" w:eastAsia="宋体" w:cs="Times New Roman"/>
                <w:bCs/>
                <w:color w:val="auto"/>
                <w:kern w:val="2"/>
                <w:sz w:val="24"/>
                <w:szCs w:val="24"/>
                <w:highlight w:val="none"/>
                <w:lang w:val="en-US" w:eastAsia="zh-CN" w:bidi="ar-SA"/>
              </w:rPr>
              <w:t>《漏洞扫描报告》</w:t>
            </w:r>
            <w:r>
              <w:rPr>
                <w:rFonts w:hint="eastAsia" w:cs="Times New Roman"/>
                <w:bCs/>
                <w:color w:val="auto"/>
                <w:kern w:val="2"/>
                <w:sz w:val="24"/>
                <w:szCs w:val="24"/>
                <w:highlight w:val="none"/>
                <w:lang w:val="en-US" w:eastAsia="zh-CN" w:bidi="ar-SA"/>
              </w:rPr>
              <w:t>。</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222EFAA5">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w:t>
            </w:r>
            <w:r>
              <w:rPr>
                <w:rFonts w:hint="eastAsia"/>
                <w:b w:val="0"/>
                <w:bCs/>
                <w:color w:val="auto"/>
                <w:highlight w:val="none"/>
                <w:lang w:val="en-US" w:eastAsia="zh-CN"/>
              </w:rPr>
              <w:t>每季度</w:t>
            </w:r>
            <w:r>
              <w:rPr>
                <w:rFonts w:hint="eastAsia"/>
                <w:b w:val="0"/>
                <w:bCs/>
                <w:color w:val="auto"/>
                <w:highlight w:val="none"/>
              </w:rPr>
              <w:t>一次</w:t>
            </w:r>
          </w:p>
        </w:tc>
      </w:tr>
      <w:tr w14:paraId="0691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E8DF3EE">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2</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C927F4B">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lang w:val="en-US" w:eastAsia="zh-CN"/>
              </w:rPr>
              <w:t>安全培训及应急演练服务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0418EEFE">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1、针对法律法规、网络安全相关知识进行专业培训。</w:t>
            </w:r>
          </w:p>
          <w:p w14:paraId="741AB9F5">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网络安全基本常识培训内容包括网络安全态势、网络安全事件、日常工作中需养成的安全习惯等。</w:t>
            </w:r>
          </w:p>
          <w:p w14:paraId="69D84B6B">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网络安全法律法规培训重点围绕《网络安全法，结合具体案例开展。</w:t>
            </w:r>
          </w:p>
          <w:p w14:paraId="3700BA8B">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2、开展一次网络安全应急演练，加强职工网络安全防范意识，最终交付《应急演练及培训总结报告》。</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246FEEF7">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合同期内一次</w:t>
            </w:r>
          </w:p>
        </w:tc>
      </w:tr>
      <w:tr w14:paraId="0BED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9AF2BC1">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A22E32A">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渗透测试</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250890A4">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1、采用各种手段模拟真实的安全攻击，从而发现黑客入侵信息系统的潜在可能途径。渗透测试工作以人工渗透为主，辅以攻击工具的使用。</w:t>
            </w:r>
          </w:p>
          <w:p w14:paraId="6DB67E18">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lang w:val="en-US" w:eastAsia="zh-CN"/>
              </w:rPr>
              <w:t>2、主要的渗透测试方法包括：信息收集、端口扫描、远程溢出、口令猜测、本地溢出、企业用户端攻击、中间人攻击、web脚本渗透、B/S或C/S应用程序测试、社会工程等，最终交付《渗透测试报告》。</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B3E7D2B">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合同期内一次</w:t>
            </w:r>
          </w:p>
        </w:tc>
      </w:tr>
      <w:tr w14:paraId="355F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30F16E87">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4</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3799970">
            <w:pPr>
              <w:pStyle w:val="56"/>
              <w:snapToGrid w:val="0"/>
              <w:spacing w:before="0" w:beforeAutospacing="0" w:after="0" w:afterAutospacing="0"/>
              <w:jc w:val="center"/>
              <w:rPr>
                <w:rFonts w:hint="eastAsia" w:ascii="宋体" w:hAnsi="宋体" w:cs="宋体"/>
                <w:color w:val="auto"/>
                <w:sz w:val="24"/>
                <w:highlight w:val="none"/>
              </w:rPr>
            </w:pPr>
            <w:r>
              <w:rPr>
                <w:rFonts w:hint="eastAsia"/>
                <w:b/>
                <w:color w:val="auto"/>
                <w:highlight w:val="none"/>
              </w:rPr>
              <w:t>应急响应服务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93B4E9A">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lang w:val="en-US" w:eastAsia="zh-CN"/>
              </w:rPr>
              <w:t>当单位发生黑客入侵、系统崩溃或其它影响业务正常运行的安全事件时，需第一时间对安全事件进行应急响应处理，给出相应的解决方案，并在48小时内形成《应急响应服务报告》。</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F8C637B">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合同期内按需</w:t>
            </w:r>
          </w:p>
        </w:tc>
      </w:tr>
      <w:tr w14:paraId="10E0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7D05489A">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5</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BBFFC55">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网站主机安全管理服务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2E81E6FE">
            <w:pPr>
              <w:pStyle w:val="56"/>
              <w:snapToGrid w:val="0"/>
              <w:spacing w:before="0" w:beforeAutospacing="0" w:after="0" w:afterAutospacing="0"/>
              <w:jc w:val="both"/>
              <w:rPr>
                <w:rFonts w:hint="default" w:ascii="宋体" w:hAnsi="宋体" w:cs="宋体"/>
                <w:color w:val="auto"/>
                <w:sz w:val="24"/>
                <w:highlight w:val="none"/>
                <w:lang w:val="en-US" w:eastAsia="zh-CN"/>
              </w:rPr>
            </w:pPr>
            <w:r>
              <w:rPr>
                <w:rFonts w:hint="eastAsia"/>
                <w:b w:val="0"/>
                <w:bCs/>
                <w:color w:val="auto"/>
                <w:highlight w:val="none"/>
                <w:lang w:val="en-US" w:eastAsia="zh-CN"/>
              </w:rPr>
              <w:t>对网站</w:t>
            </w:r>
            <w:r>
              <w:rPr>
                <w:rFonts w:hint="eastAsia"/>
                <w:b w:val="0"/>
                <w:bCs/>
                <w:color w:val="auto"/>
                <w:highlight w:val="none"/>
              </w:rPr>
              <w:t>服务器</w:t>
            </w:r>
            <w:r>
              <w:rPr>
                <w:rFonts w:hint="eastAsia"/>
                <w:b w:val="0"/>
                <w:bCs/>
                <w:color w:val="auto"/>
                <w:highlight w:val="none"/>
                <w:lang w:val="en-US" w:eastAsia="zh-CN"/>
              </w:rPr>
              <w:t>进行</w:t>
            </w:r>
            <w:r>
              <w:rPr>
                <w:rFonts w:hint="eastAsia"/>
                <w:b w:val="0"/>
                <w:bCs/>
                <w:color w:val="auto"/>
                <w:highlight w:val="none"/>
              </w:rPr>
              <w:t>安全加固、网络流量监控与分析、用户行为分析、应用控制、带宽管理</w:t>
            </w:r>
            <w:r>
              <w:rPr>
                <w:rFonts w:hint="eastAsia"/>
                <w:b w:val="0"/>
                <w:bCs/>
                <w:color w:val="auto"/>
                <w:highlight w:val="none"/>
                <w:lang w:eastAsia="zh-CN"/>
              </w:rPr>
              <w:t>、</w:t>
            </w:r>
            <w:r>
              <w:rPr>
                <w:rFonts w:hint="eastAsia"/>
                <w:b w:val="0"/>
                <w:bCs/>
                <w:color w:val="auto"/>
                <w:highlight w:val="none"/>
                <w:lang w:val="en-US" w:eastAsia="zh-CN"/>
              </w:rPr>
              <w:t>网络防篡改、防端口扫描、杀毒</w:t>
            </w:r>
            <w:r>
              <w:rPr>
                <w:rFonts w:hint="eastAsia"/>
                <w:b w:val="0"/>
                <w:bCs/>
                <w:color w:val="auto"/>
                <w:highlight w:val="none"/>
              </w:rPr>
              <w:t>等</w:t>
            </w:r>
            <w:r>
              <w:rPr>
                <w:rFonts w:hint="eastAsia"/>
                <w:b w:val="0"/>
                <w:bCs/>
                <w:color w:val="auto"/>
                <w:highlight w:val="none"/>
                <w:lang w:eastAsia="zh-CN"/>
              </w:rPr>
              <w:t>，</w:t>
            </w:r>
            <w:r>
              <w:rPr>
                <w:rFonts w:hint="eastAsia"/>
                <w:b w:val="0"/>
                <w:bCs/>
                <w:color w:val="auto"/>
                <w:highlight w:val="none"/>
                <w:lang w:val="en-US" w:eastAsia="zh-CN"/>
              </w:rPr>
              <w:t>全方位保证网站的安全。</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1232886">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val="0"/>
                <w:bCs/>
                <w:color w:val="auto"/>
                <w:highlight w:val="none"/>
                <w:lang w:val="en-US" w:eastAsia="zh-CN"/>
              </w:rPr>
              <w:t>合同期内一年</w:t>
            </w:r>
          </w:p>
        </w:tc>
      </w:tr>
      <w:tr w14:paraId="0C1D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714AA8C1">
            <w:pPr>
              <w:pStyle w:val="56"/>
              <w:snapToGrid w:val="0"/>
              <w:spacing w:before="0" w:beforeAutospacing="0" w:after="0" w:afterAutospacing="0"/>
              <w:jc w:val="center"/>
              <w:rPr>
                <w:rFonts w:hint="eastAsia" w:ascii="宋体" w:hAnsi="宋体" w:eastAsia="宋体" w:cs="宋体"/>
                <w:color w:val="auto"/>
                <w:sz w:val="24"/>
                <w:highlight w:val="none"/>
                <w:lang w:val="en-US" w:eastAsia="zh-CN"/>
              </w:rPr>
            </w:pPr>
            <w:r>
              <w:rPr>
                <w:rFonts w:hint="eastAsia"/>
                <w:b/>
                <w:color w:val="auto"/>
                <w:highlight w:val="none"/>
                <w:lang w:val="en-US" w:eastAsia="zh-CN"/>
              </w:rPr>
              <w:t>6</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EE0CB48">
            <w:pPr>
              <w:pStyle w:val="56"/>
              <w:snapToGrid w:val="0"/>
              <w:spacing w:before="0" w:beforeAutospacing="0" w:after="0" w:afterAutospacing="0"/>
              <w:jc w:val="center"/>
              <w:rPr>
                <w:rFonts w:hint="default" w:ascii="宋体" w:hAnsi="宋体" w:cs="宋体"/>
                <w:color w:val="auto"/>
                <w:sz w:val="24"/>
                <w:highlight w:val="none"/>
                <w:lang w:val="en-US" w:eastAsia="zh-CN"/>
              </w:rPr>
            </w:pPr>
            <w:r>
              <w:rPr>
                <w:rFonts w:hint="eastAsia"/>
                <w:b/>
                <w:color w:val="auto"/>
                <w:highlight w:val="none"/>
                <w:lang w:val="en-US" w:eastAsia="zh-CN"/>
              </w:rPr>
              <w:t>巡检服务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72EAEA3D">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1、制定全年的安全巡检计划，内容包括巡检目标和范围、内容规划、巡检时间表和频率、巡检人员和职责、响应机制、记录和报告、审查和改进。</w:t>
            </w:r>
          </w:p>
          <w:p w14:paraId="16572D21">
            <w:pPr>
              <w:pStyle w:val="56"/>
              <w:snapToGrid w:val="0"/>
              <w:spacing w:before="0" w:beforeAutospacing="0" w:after="0" w:afterAutospacing="0"/>
              <w:jc w:val="both"/>
              <w:rPr>
                <w:rFonts w:hint="eastAsia" w:ascii="宋体" w:hAnsi="宋体" w:cs="宋体"/>
                <w:color w:val="auto"/>
                <w:sz w:val="24"/>
                <w:highlight w:val="none"/>
              </w:rPr>
            </w:pPr>
            <w:r>
              <w:rPr>
                <w:rFonts w:hint="eastAsia"/>
                <w:b w:val="0"/>
                <w:bCs/>
                <w:color w:val="auto"/>
                <w:highlight w:val="none"/>
                <w:lang w:val="en-US" w:eastAsia="zh-CN"/>
              </w:rPr>
              <w:t>2、巡检内容主要包括系统和应用安全、网络安全、数据和备份安全、物理安全、安全策略和程序、安全事件响应，从六大维度全面检查单位的网络状态，保障单位的网络安全，最终交付《巡检报告》。</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44A837C">
            <w:pPr>
              <w:pStyle w:val="56"/>
              <w:snapToGrid w:val="0"/>
              <w:spacing w:before="0" w:beforeAutospacing="0" w:after="0" w:afterAutospacing="0"/>
              <w:jc w:val="center"/>
              <w:rPr>
                <w:rFonts w:hint="eastAsia" w:ascii="宋体" w:hAnsi="宋体" w:cs="宋体"/>
                <w:color w:val="auto"/>
                <w:sz w:val="24"/>
                <w:highlight w:val="none"/>
              </w:rPr>
            </w:pPr>
            <w:r>
              <w:rPr>
                <w:rFonts w:hint="eastAsia"/>
                <w:b w:val="0"/>
                <w:bCs/>
                <w:color w:val="auto"/>
                <w:highlight w:val="none"/>
              </w:rPr>
              <w:t>每季度一次</w:t>
            </w:r>
          </w:p>
        </w:tc>
      </w:tr>
      <w:tr w14:paraId="3057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BAA829">
            <w:pPr>
              <w:pStyle w:val="56"/>
              <w:snapToGrid w:val="0"/>
              <w:spacing w:before="0" w:beforeAutospacing="0" w:after="0" w:afterAutospacing="0"/>
              <w:jc w:val="center"/>
              <w:rPr>
                <w:rFonts w:hint="eastAsia" w:ascii="宋体" w:hAnsi="宋体" w:eastAsia="宋体" w:cs="宋体"/>
                <w:b/>
                <w:color w:val="auto"/>
                <w:kern w:val="0"/>
                <w:sz w:val="24"/>
                <w:szCs w:val="24"/>
                <w:highlight w:val="none"/>
                <w:lang w:val="en-US" w:eastAsia="zh-CN" w:bidi="ar-SA"/>
              </w:rPr>
            </w:pPr>
            <w:r>
              <w:rPr>
                <w:rFonts w:hint="eastAsia"/>
                <w:b/>
                <w:color w:val="auto"/>
                <w:highlight w:val="none"/>
                <w:lang w:val="en-US" w:eastAsia="zh-CN"/>
              </w:rPr>
              <w:t>7</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63FE3">
            <w:pPr>
              <w:pStyle w:val="56"/>
              <w:snapToGrid w:val="0"/>
              <w:spacing w:before="0" w:beforeAutospacing="0" w:after="0" w:afterAutospacing="0"/>
              <w:jc w:val="center"/>
              <w:rPr>
                <w:rFonts w:hint="eastAsia" w:ascii="宋体" w:hAnsi="宋体" w:eastAsia="宋体" w:cs="宋体"/>
                <w:b/>
                <w:color w:val="auto"/>
                <w:kern w:val="0"/>
                <w:sz w:val="24"/>
                <w:szCs w:val="24"/>
                <w:highlight w:val="none"/>
                <w:lang w:val="en-US" w:eastAsia="zh-CN" w:bidi="ar-SA"/>
              </w:rPr>
            </w:pPr>
            <w:r>
              <w:rPr>
                <w:rFonts w:hint="eastAsia"/>
                <w:b/>
                <w:color w:val="auto"/>
                <w:highlight w:val="none"/>
                <w:lang w:val="en-US" w:eastAsia="zh-CN"/>
              </w:rPr>
              <w:t>安全咨询服务</w:t>
            </w:r>
          </w:p>
        </w:tc>
        <w:tc>
          <w:tcPr>
            <w:tcW w:w="51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17C4B4">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网络安全咨询服务包括：</w:t>
            </w:r>
          </w:p>
          <w:p w14:paraId="174618BF">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1）</w:t>
            </w:r>
            <w:r>
              <w:rPr>
                <w:rFonts w:hint="default"/>
                <w:b w:val="0"/>
                <w:bCs/>
                <w:color w:val="auto"/>
                <w:highlight w:val="none"/>
                <w:lang w:val="en-US" w:eastAsia="zh-CN"/>
              </w:rPr>
              <w:t>合规性咨询</w:t>
            </w:r>
            <w:r>
              <w:rPr>
                <w:rFonts w:hint="eastAsia"/>
                <w:b w:val="0"/>
                <w:bCs/>
                <w:color w:val="auto"/>
                <w:highlight w:val="none"/>
                <w:lang w:val="en-US" w:eastAsia="zh-CN"/>
              </w:rPr>
              <w:t>：帮助单位理解和实施国家信息安全保护的等级要求，确保符合相关法律法规。</w:t>
            </w:r>
          </w:p>
          <w:p w14:paraId="7EB21967">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2）</w:t>
            </w:r>
            <w:r>
              <w:rPr>
                <w:rFonts w:hint="default"/>
                <w:b w:val="0"/>
                <w:bCs/>
                <w:color w:val="auto"/>
                <w:highlight w:val="none"/>
                <w:lang w:val="en-US" w:eastAsia="zh-CN"/>
              </w:rPr>
              <w:t>风险</w:t>
            </w:r>
            <w:r>
              <w:rPr>
                <w:rFonts w:hint="eastAsia"/>
                <w:b w:val="0"/>
                <w:bCs/>
                <w:color w:val="auto"/>
                <w:highlight w:val="none"/>
                <w:lang w:val="en-US" w:eastAsia="zh-CN"/>
              </w:rPr>
              <w:t>咨询：为单位提供针对性的风险应对策略和措施，以降低潜在风险的影响。</w:t>
            </w:r>
          </w:p>
          <w:p w14:paraId="654B1CFA">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3）</w:t>
            </w:r>
            <w:r>
              <w:rPr>
                <w:rFonts w:hint="default"/>
                <w:b w:val="0"/>
                <w:bCs/>
                <w:color w:val="auto"/>
                <w:highlight w:val="none"/>
                <w:lang w:val="en-US" w:eastAsia="zh-CN"/>
              </w:rPr>
              <w:t>安全架构设计</w:t>
            </w:r>
            <w:r>
              <w:rPr>
                <w:rFonts w:hint="eastAsia"/>
                <w:b w:val="0"/>
                <w:bCs/>
                <w:color w:val="auto"/>
                <w:highlight w:val="none"/>
                <w:lang w:val="en-US" w:eastAsia="zh-CN"/>
              </w:rPr>
              <w:t>咨询：根据业务需求和安全战略，设计全面的网络安全架构，确保技术和应用层面的安全性，支持整体安全架构的实现。</w:t>
            </w:r>
          </w:p>
          <w:p w14:paraId="4C7947B0">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4）</w:t>
            </w:r>
            <w:r>
              <w:rPr>
                <w:rFonts w:hint="default"/>
                <w:b w:val="0"/>
                <w:bCs/>
                <w:color w:val="auto"/>
                <w:highlight w:val="none"/>
                <w:lang w:val="en-US" w:eastAsia="zh-CN"/>
              </w:rPr>
              <w:t>安全策略制定</w:t>
            </w:r>
            <w:r>
              <w:rPr>
                <w:rFonts w:hint="eastAsia"/>
                <w:b w:val="0"/>
                <w:bCs/>
                <w:color w:val="auto"/>
                <w:highlight w:val="none"/>
                <w:lang w:val="en-US" w:eastAsia="zh-CN"/>
              </w:rPr>
              <w:t>咨询：帮助单位建立或优化安全政策和流程，提高整体安全管理水平。</w:t>
            </w:r>
          </w:p>
          <w:p w14:paraId="7FEC6369">
            <w:pPr>
              <w:pStyle w:val="56"/>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5)日常网络问题咨询：任何涉及到网络安全的问题均可咨询。</w:t>
            </w:r>
          </w:p>
          <w:p w14:paraId="0BD74AA5">
            <w:pPr>
              <w:pStyle w:val="56"/>
              <w:snapToGrid w:val="0"/>
              <w:spacing w:before="0" w:beforeAutospacing="0" w:after="0" w:afterAutospacing="0"/>
              <w:jc w:val="both"/>
              <w:rPr>
                <w:rFonts w:hint="eastAsia" w:ascii="宋体" w:hAnsi="宋体" w:eastAsia="宋体" w:cs="宋体"/>
                <w:b w:val="0"/>
                <w:bCs/>
                <w:color w:val="auto"/>
                <w:kern w:val="0"/>
                <w:sz w:val="24"/>
                <w:szCs w:val="24"/>
                <w:highlight w:val="none"/>
                <w:lang w:val="en-US" w:eastAsia="zh-CN" w:bidi="ar-SA"/>
              </w:rPr>
            </w:pPr>
            <w:r>
              <w:rPr>
                <w:rFonts w:hint="eastAsia"/>
                <w:b w:val="0"/>
                <w:bCs/>
                <w:color w:val="auto"/>
                <w:highlight w:val="none"/>
                <w:lang w:val="en-US" w:eastAsia="zh-CN"/>
              </w:rPr>
              <w:t>无需出具报告。</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0725C">
            <w:pPr>
              <w:pStyle w:val="56"/>
              <w:snapToGrid w:val="0"/>
              <w:spacing w:before="0" w:beforeAutospacing="0" w:after="0" w:afterAutospacing="0"/>
              <w:jc w:val="center"/>
              <w:rPr>
                <w:rFonts w:hint="eastAsia" w:ascii="宋体" w:hAnsi="宋体" w:eastAsia="宋体" w:cs="宋体"/>
                <w:b w:val="0"/>
                <w:bCs/>
                <w:color w:val="auto"/>
                <w:kern w:val="0"/>
                <w:sz w:val="24"/>
                <w:szCs w:val="24"/>
                <w:highlight w:val="none"/>
                <w:lang w:val="en-US" w:eastAsia="zh-CN" w:bidi="ar-SA"/>
              </w:rPr>
            </w:pPr>
            <w:r>
              <w:rPr>
                <w:rFonts w:hint="eastAsia"/>
                <w:b w:val="0"/>
                <w:bCs/>
                <w:color w:val="auto"/>
                <w:highlight w:val="none"/>
                <w:lang w:val="en-US" w:eastAsia="zh-CN"/>
              </w:rPr>
              <w:t>合同期内按需</w:t>
            </w:r>
          </w:p>
        </w:tc>
      </w:tr>
      <w:tr w14:paraId="7ADF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6C83C">
            <w:pPr>
              <w:pStyle w:val="56"/>
              <w:snapToGrid w:val="0"/>
              <w:spacing w:before="0" w:beforeAutospacing="0" w:after="0" w:afterAutospacing="0"/>
              <w:jc w:val="center"/>
              <w:rPr>
                <w:rFonts w:hint="eastAsia" w:ascii="宋体" w:hAnsi="宋体" w:eastAsia="宋体" w:cs="宋体"/>
                <w:b/>
                <w:color w:val="auto"/>
                <w:kern w:val="0"/>
                <w:sz w:val="24"/>
                <w:szCs w:val="24"/>
                <w:highlight w:val="none"/>
                <w:lang w:val="en-US" w:eastAsia="zh-CN" w:bidi="ar-SA"/>
              </w:rPr>
            </w:pPr>
            <w:r>
              <w:rPr>
                <w:rFonts w:hint="eastAsia"/>
                <w:b/>
                <w:color w:val="auto"/>
                <w:highlight w:val="none"/>
                <w:lang w:val="en-US" w:eastAsia="zh-CN"/>
              </w:rPr>
              <w:t>8</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AF12BC">
            <w:pPr>
              <w:pStyle w:val="56"/>
              <w:snapToGrid w:val="0"/>
              <w:spacing w:before="0" w:beforeAutospacing="0" w:after="0" w:afterAutospacing="0"/>
              <w:jc w:val="center"/>
              <w:rPr>
                <w:rFonts w:hint="eastAsia" w:ascii="宋体" w:hAnsi="宋体" w:eastAsia="宋体" w:cs="宋体"/>
                <w:b/>
                <w:color w:val="auto"/>
                <w:kern w:val="0"/>
                <w:sz w:val="24"/>
                <w:szCs w:val="24"/>
                <w:highlight w:val="none"/>
                <w:lang w:val="en-US" w:eastAsia="zh-CN" w:bidi="ar-SA"/>
              </w:rPr>
            </w:pPr>
            <w:r>
              <w:rPr>
                <w:rFonts w:hint="eastAsia"/>
                <w:b/>
                <w:color w:val="auto"/>
                <w:highlight w:val="none"/>
                <w:lang w:val="en-US" w:eastAsia="zh-CN"/>
              </w:rPr>
              <w:t>安全加固服务</w:t>
            </w:r>
          </w:p>
        </w:tc>
        <w:tc>
          <w:tcPr>
            <w:tcW w:w="51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DC662">
            <w:pPr>
              <w:pStyle w:val="56"/>
              <w:numPr>
                <w:ilvl w:val="0"/>
                <w:numId w:val="10"/>
              </w:numPr>
              <w:snapToGrid w:val="0"/>
              <w:spacing w:before="0" w:beforeAutospacing="0" w:after="0" w:afterAutospacing="0"/>
              <w:jc w:val="both"/>
              <w:rPr>
                <w:rFonts w:hint="eastAsia"/>
                <w:b w:val="0"/>
                <w:bCs/>
                <w:color w:val="auto"/>
                <w:highlight w:val="none"/>
                <w:lang w:val="en-US" w:eastAsia="zh-CN"/>
              </w:rPr>
            </w:pPr>
            <w:r>
              <w:rPr>
                <w:rFonts w:hint="eastAsia"/>
                <w:b w:val="0"/>
                <w:bCs/>
                <w:color w:val="auto"/>
                <w:highlight w:val="none"/>
                <w:lang w:val="en-US" w:eastAsia="zh-CN"/>
              </w:rPr>
              <w:t>针对日常安全检查、漏洞扫描等安全评估过程中发现的各种安全隐患，进行安全加固和优化；</w:t>
            </w:r>
          </w:p>
          <w:p w14:paraId="1F7EC24B">
            <w:pPr>
              <w:pStyle w:val="56"/>
              <w:numPr>
                <w:ilvl w:val="0"/>
                <w:numId w:val="10"/>
              </w:numPr>
              <w:snapToGrid w:val="0"/>
              <w:spacing w:before="0" w:beforeAutospacing="0" w:after="0" w:afterAutospacing="0"/>
              <w:jc w:val="both"/>
              <w:rPr>
                <w:rFonts w:hint="eastAsia" w:ascii="宋体" w:hAnsi="宋体" w:eastAsia="宋体" w:cs="宋体"/>
                <w:b w:val="0"/>
                <w:bCs/>
                <w:color w:val="auto"/>
                <w:kern w:val="0"/>
                <w:sz w:val="24"/>
                <w:szCs w:val="24"/>
                <w:highlight w:val="none"/>
                <w:lang w:val="en-US" w:eastAsia="zh-CN" w:bidi="ar-SA"/>
              </w:rPr>
            </w:pPr>
            <w:r>
              <w:rPr>
                <w:rFonts w:hint="eastAsia"/>
                <w:b w:val="0"/>
                <w:bCs/>
                <w:color w:val="auto"/>
                <w:highlight w:val="none"/>
                <w:lang w:val="en-US" w:eastAsia="zh-CN"/>
              </w:rPr>
              <w:t>网络环境变更或业务新增时，针对实际环境，提供安全加固建议并协助完成安全设备或网络设备的配置调整。最终交付《安全加固报告》</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7AAD31">
            <w:pPr>
              <w:pStyle w:val="56"/>
              <w:snapToGrid w:val="0"/>
              <w:spacing w:before="0" w:beforeAutospacing="0" w:after="0" w:afterAutospacing="0"/>
              <w:jc w:val="center"/>
              <w:rPr>
                <w:rFonts w:hint="eastAsia" w:ascii="宋体" w:hAnsi="宋体" w:eastAsia="宋体" w:cs="宋体"/>
                <w:b w:val="0"/>
                <w:bCs/>
                <w:color w:val="auto"/>
                <w:kern w:val="0"/>
                <w:sz w:val="24"/>
                <w:szCs w:val="24"/>
                <w:highlight w:val="none"/>
                <w:lang w:val="en-US" w:eastAsia="zh-CN" w:bidi="ar-SA"/>
              </w:rPr>
            </w:pPr>
            <w:r>
              <w:rPr>
                <w:rFonts w:hint="eastAsia"/>
                <w:b w:val="0"/>
                <w:bCs/>
                <w:color w:val="auto"/>
                <w:highlight w:val="none"/>
              </w:rPr>
              <w:t>每季度一次</w:t>
            </w:r>
          </w:p>
        </w:tc>
      </w:tr>
    </w:tbl>
    <w:p w14:paraId="77876774">
      <w:pPr>
        <w:spacing w:line="360" w:lineRule="auto"/>
        <w:rPr>
          <w:rFonts w:hint="eastAsia" w:ascii="宋体" w:hAnsi="宋体" w:cs="宋体"/>
          <w:bCs/>
          <w:color w:val="auto"/>
          <w:kern w:val="0"/>
          <w:sz w:val="24"/>
          <w:highlight w:val="none"/>
        </w:rPr>
      </w:pPr>
    </w:p>
    <w:p w14:paraId="7643DD4B">
      <w:pPr>
        <w:spacing w:line="440" w:lineRule="exact"/>
        <w:ind w:firstLine="482"/>
        <w:rPr>
          <w:rFonts w:ascii="宋体" w:hAnsi="宋体" w:cs="宋体"/>
          <w:b/>
          <w:color w:val="auto"/>
          <w:kern w:val="0"/>
          <w:sz w:val="24"/>
          <w:highlight w:val="none"/>
        </w:rPr>
      </w:pPr>
      <w:bookmarkStart w:id="26" w:name="_Toc158531878"/>
      <w:r>
        <w:rPr>
          <w:rFonts w:hint="eastAsia" w:ascii="宋体" w:hAnsi="宋体" w:cs="宋体"/>
          <w:b/>
          <w:color w:val="auto"/>
          <w:kern w:val="0"/>
          <w:sz w:val="24"/>
          <w:highlight w:val="none"/>
        </w:rPr>
        <w:t>二、服务期限要求</w:t>
      </w:r>
      <w:bookmarkEnd w:id="26"/>
    </w:p>
    <w:p w14:paraId="05E1B13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本项目服务期限为一年（从签订合同之日算起），其中：</w:t>
      </w:r>
    </w:p>
    <w:p w14:paraId="2E3D9C66">
      <w:pPr>
        <w:spacing w:line="44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、合同价格及支付方式</w:t>
      </w:r>
    </w:p>
    <w:p w14:paraId="094FD73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1、合同价格：(人民币)（大写）：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，合同价格中包含招标文件中约定的所有内容。</w:t>
      </w:r>
    </w:p>
    <w:p w14:paraId="223D1C6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签订合同后付款30%，</w:t>
      </w:r>
      <w:r>
        <w:rPr>
          <w:rFonts w:hint="eastAsia" w:ascii="宋体" w:hAnsi="宋体" w:cs="宋体"/>
          <w:color w:val="auto"/>
          <w:sz w:val="24"/>
          <w:highlight w:val="none"/>
        </w:rPr>
        <w:t>完成本项目所有工作内容后付清余款。</w:t>
      </w:r>
    </w:p>
    <w:p w14:paraId="77B00459">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申请支付时提供正式发票。</w:t>
      </w:r>
    </w:p>
    <w:p w14:paraId="4E4E1E59">
      <w:pPr>
        <w:spacing w:line="440" w:lineRule="exact"/>
        <w:ind w:firstLine="480" w:firstLineChars="200"/>
        <w:rPr>
          <w:rFonts w:ascii="宋体" w:hAnsi="宋体" w:cs="宋体"/>
          <w:b/>
          <w:bCs/>
          <w:color w:val="auto"/>
          <w:sz w:val="24"/>
          <w:highlight w:val="none"/>
        </w:rPr>
      </w:pPr>
      <w:bookmarkStart w:id="27" w:name="_Toc158531884"/>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、双方</w:t>
      </w:r>
      <w:bookmarkEnd w:id="27"/>
      <w:r>
        <w:rPr>
          <w:rFonts w:hint="eastAsia" w:ascii="宋体" w:hAnsi="宋体" w:cs="宋体"/>
          <w:b/>
          <w:bCs/>
          <w:color w:val="auto"/>
          <w:sz w:val="24"/>
          <w:highlight w:val="none"/>
        </w:rPr>
        <w:t>义务</w:t>
      </w:r>
    </w:p>
    <w:p w14:paraId="06AD28A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1、甲方主要义务</w:t>
      </w:r>
    </w:p>
    <w:p w14:paraId="43C8A70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①在规定的时间内向乙方提交相关基础资料及文件，并对其完整性、正确性及时限负责。</w:t>
      </w:r>
    </w:p>
    <w:p w14:paraId="693CAE9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②按合同规定的金额和时间向乙方支付费用。</w:t>
      </w:r>
    </w:p>
    <w:p w14:paraId="59CF057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2、乙方主要义务</w:t>
      </w:r>
    </w:p>
    <w:p w14:paraId="296BB0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按合同规定的要求进行服务，并按要求提交相关的成果报告。</w:t>
      </w:r>
    </w:p>
    <w:p w14:paraId="41D678C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服从甲方及有关部门的管理和进度控制。</w:t>
      </w:r>
    </w:p>
    <w:p w14:paraId="5955A4F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③执行国家有关政策、法规。</w:t>
      </w:r>
    </w:p>
    <w:p w14:paraId="27E8658B">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乙方项目负责人：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r>
        <w:rPr>
          <w:rFonts w:ascii="宋体" w:hAnsi="宋体" w:cs="宋体"/>
          <w:bCs/>
          <w:color w:val="auto"/>
          <w:sz w:val="24"/>
          <w:highlight w:val="none"/>
        </w:rPr>
        <w:t xml:space="preserve">    </w:t>
      </w:r>
    </w:p>
    <w:p w14:paraId="4CBAD37D">
      <w:pPr>
        <w:spacing w:line="440" w:lineRule="exact"/>
        <w:ind w:firstLine="480"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、违约责任</w:t>
      </w:r>
    </w:p>
    <w:p w14:paraId="23B83B6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1、合同生效后，如乙方擅自中途停止或解除合同，乙方应承担相关违约责任。</w:t>
      </w:r>
    </w:p>
    <w:p w14:paraId="7CBDC6D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2、乙方除不可抗拒的因素外，未在规定时间内出具符合要求的测评报告的，应向采购人支付合同总价款每日0.3%的违约金，从合同款项中直接扣除。另外，采购人有权随时终止合同履行。</w:t>
      </w:r>
    </w:p>
    <w:p w14:paraId="51111BD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3、乙方开展漏洞扫描、安全巡检等网络安全服务时必须确保工作详尽到位。</w:t>
      </w:r>
    </w:p>
    <w:p w14:paraId="5898718B">
      <w:pPr>
        <w:spacing w:line="44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、争议解决</w:t>
      </w:r>
    </w:p>
    <w:p w14:paraId="4B16D2E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若在履行本合同过程中出现争议，双方协商解决，协商不成的，双方可诉至有管辖权的人民法院解决。</w:t>
      </w:r>
    </w:p>
    <w:p w14:paraId="04F5CA49">
      <w:pPr>
        <w:spacing w:line="44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w:t>
      </w:r>
    </w:p>
    <w:p w14:paraId="50548357">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1、本合同执行过程中的未尽事宜，双方应本着实事求是友好协商的态度加以解决。双方协商一致的，签订补充协议。补充协议和本合同具有同等效力。</w:t>
      </w:r>
    </w:p>
    <w:p w14:paraId="7F19A17E">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、本合同自双方签字盖章之日起生效，自双方的主要义务履行完毕之日起终止。</w:t>
      </w:r>
    </w:p>
    <w:p w14:paraId="35CE7FC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w:t>
      </w:r>
      <w:r>
        <w:rPr>
          <w:rFonts w:hint="eastAsia" w:ascii="宋体" w:hAnsi="宋体" w:cs="宋体"/>
          <w:color w:val="auto"/>
          <w:sz w:val="24"/>
          <w:highlight w:val="none"/>
          <w:lang w:eastAsia="zh-CN"/>
        </w:rPr>
        <w:t>五</w:t>
      </w:r>
      <w:r>
        <w:rPr>
          <w:rFonts w:hint="eastAsia" w:ascii="宋体" w:hAnsi="宋体" w:cs="宋体"/>
          <w:color w:val="auto"/>
          <w:sz w:val="24"/>
          <w:highlight w:val="none"/>
        </w:rPr>
        <w:t>份，</w:t>
      </w:r>
      <w:r>
        <w:rPr>
          <w:rFonts w:hint="eastAsia" w:ascii="宋体" w:hAnsi="宋体" w:cs="宋体"/>
          <w:color w:val="auto"/>
          <w:sz w:val="24"/>
          <w:highlight w:val="none"/>
          <w:lang w:eastAsia="zh-CN"/>
        </w:rPr>
        <w:t>甲方执三份，乙</w:t>
      </w:r>
      <w:r>
        <w:rPr>
          <w:rFonts w:hint="eastAsia" w:ascii="宋体" w:hAnsi="宋体" w:cs="宋体"/>
          <w:color w:val="auto"/>
          <w:sz w:val="24"/>
          <w:highlight w:val="none"/>
        </w:rPr>
        <w:t>方执两份。</w:t>
      </w:r>
    </w:p>
    <w:p w14:paraId="3B189C4C">
      <w:pPr>
        <w:spacing w:line="440" w:lineRule="exact"/>
        <w:ind w:firstLine="480"/>
        <w:jc w:val="left"/>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、合同签订地点：</w:t>
      </w:r>
    </w:p>
    <w:p w14:paraId="5CE13B7F">
      <w:pPr>
        <w:spacing w:line="440" w:lineRule="exact"/>
        <w:ind w:firstLine="480"/>
        <w:jc w:val="left"/>
        <w:rPr>
          <w:rFonts w:hint="eastAsia" w:ascii="宋体" w:hAnsi="宋体" w:cs="宋体"/>
          <w:color w:val="auto"/>
          <w:sz w:val="24"/>
          <w:highlight w:val="none"/>
        </w:rPr>
      </w:pPr>
    </w:p>
    <w:p w14:paraId="46C496B4">
      <w:pPr>
        <w:spacing w:line="360" w:lineRule="auto"/>
        <w:ind w:left="105" w:leftChars="50" w:firstLine="600" w:firstLineChars="250"/>
        <w:jc w:val="left"/>
        <w:rPr>
          <w:rFonts w:ascii="宋体" w:hAnsi="宋体" w:cs="宋体"/>
          <w:color w:val="auto"/>
          <w:sz w:val="24"/>
          <w:highlight w:val="none"/>
        </w:rPr>
      </w:pPr>
      <w:r>
        <w:rPr>
          <w:rFonts w:hint="eastAsia" w:ascii="宋体" w:hAnsi="宋体" w:cs="宋体"/>
          <w:color w:val="auto"/>
          <w:sz w:val="24"/>
          <w:highlight w:val="none"/>
        </w:rPr>
        <w:t>甲方单位名称（盖章）                乙方单位名称（盖章）</w:t>
      </w:r>
    </w:p>
    <w:p w14:paraId="22A15124">
      <w:pPr>
        <w:spacing w:line="360" w:lineRule="auto"/>
        <w:ind w:left="1155" w:hanging="1155"/>
        <w:jc w:val="left"/>
        <w:rPr>
          <w:rFonts w:ascii="宋体" w:hAnsi="宋体" w:cs="宋体"/>
          <w:color w:val="auto"/>
          <w:sz w:val="24"/>
          <w:highlight w:val="none"/>
        </w:rPr>
      </w:pPr>
      <w:r>
        <w:rPr>
          <w:rFonts w:hint="eastAsia" w:ascii="宋体" w:hAnsi="宋体" w:cs="宋体"/>
          <w:color w:val="auto"/>
          <w:sz w:val="24"/>
          <w:highlight w:val="none"/>
        </w:rPr>
        <w:t xml:space="preserve">      法定代表人（或委托代理人）          法定代表人（或委托代理人）</w:t>
      </w:r>
    </w:p>
    <w:p w14:paraId="3ED36DF7">
      <w:pPr>
        <w:spacing w:line="360" w:lineRule="auto"/>
        <w:ind w:left="1172" w:leftChars="387" w:hanging="360" w:hangingChars="150"/>
        <w:jc w:val="left"/>
        <w:rPr>
          <w:rFonts w:ascii="宋体" w:hAnsi="宋体" w:cs="宋体"/>
          <w:color w:val="auto"/>
          <w:sz w:val="24"/>
          <w:highlight w:val="none"/>
        </w:rPr>
      </w:pPr>
      <w:r>
        <w:rPr>
          <w:rFonts w:hint="eastAsia" w:ascii="宋体" w:hAnsi="宋体" w:cs="宋体"/>
          <w:color w:val="auto"/>
          <w:sz w:val="24"/>
          <w:highlight w:val="none"/>
        </w:rPr>
        <w:t xml:space="preserve">签字或盖章：                         签字或盖章： </w:t>
      </w:r>
    </w:p>
    <w:p w14:paraId="7F54D9A5">
      <w:pPr>
        <w:keepNext/>
        <w:keepLines/>
        <w:spacing w:before="100" w:after="100" w:line="360" w:lineRule="auto"/>
        <w:jc w:val="right"/>
        <w:outlineLvl w:val="0"/>
        <w:rPr>
          <w:rFonts w:ascii="宋体" w:hAnsi="宋体"/>
          <w:color w:val="auto"/>
          <w:kern w:val="44"/>
          <w:sz w:val="36"/>
          <w:szCs w:val="36"/>
          <w:highlight w:val="none"/>
        </w:rPr>
      </w:pPr>
      <w:r>
        <w:rPr>
          <w:rFonts w:hint="eastAsia" w:ascii="宋体" w:hAnsi="宋体" w:cs="宋体"/>
          <w:color w:val="auto"/>
          <w:sz w:val="24"/>
          <w:highlight w:val="none"/>
        </w:rPr>
        <w:t xml:space="preserve">日期：   年   月   日  </w:t>
      </w:r>
    </w:p>
    <w:p w14:paraId="498AE413">
      <w:pPr>
        <w:topLinePunct/>
        <w:snapToGrid w:val="0"/>
        <w:spacing w:line="360" w:lineRule="auto"/>
        <w:jc w:val="both"/>
        <w:rPr>
          <w:rFonts w:ascii="宋体" w:hAnsi="宋体" w:cs="宋体"/>
          <w:color w:val="auto"/>
          <w:sz w:val="24"/>
          <w:szCs w:val="21"/>
          <w:highlight w:val="none"/>
        </w:rPr>
      </w:pPr>
    </w:p>
    <w:p w14:paraId="116D80F9">
      <w:pPr>
        <w:topLinePunct/>
        <w:snapToGrid w:val="0"/>
        <w:spacing w:line="360" w:lineRule="auto"/>
        <w:ind w:firstLine="552" w:firstLineChars="200"/>
        <w:jc w:val="center"/>
        <w:rPr>
          <w:rStyle w:val="121"/>
          <w:rFonts w:hint="default"/>
          <w:bCs/>
          <w:color w:val="auto"/>
          <w:sz w:val="28"/>
          <w:szCs w:val="28"/>
          <w:highlight w:val="none"/>
        </w:rPr>
      </w:pPr>
    </w:p>
    <w:p w14:paraId="4F03E5CE">
      <w:pPr>
        <w:topLinePunct/>
        <w:snapToGrid w:val="0"/>
        <w:spacing w:line="360" w:lineRule="auto"/>
        <w:ind w:firstLine="552" w:firstLineChars="200"/>
        <w:jc w:val="center"/>
        <w:rPr>
          <w:rStyle w:val="121"/>
          <w:rFonts w:hint="default"/>
          <w:bCs/>
          <w:color w:val="auto"/>
          <w:sz w:val="28"/>
          <w:szCs w:val="28"/>
          <w:highlight w:val="none"/>
        </w:rPr>
      </w:pPr>
      <w:r>
        <w:rPr>
          <w:rStyle w:val="121"/>
          <w:rFonts w:hint="default"/>
          <w:bCs/>
          <w:color w:val="auto"/>
          <w:sz w:val="28"/>
          <w:szCs w:val="28"/>
          <w:highlight w:val="none"/>
        </w:rPr>
        <w:t>第六章  合同授予</w:t>
      </w:r>
    </w:p>
    <w:p w14:paraId="37502B8A">
      <w:pPr>
        <w:snapToGrid w:val="0"/>
        <w:spacing w:line="360" w:lineRule="auto"/>
        <w:ind w:firstLine="480" w:firstLineChars="200"/>
        <w:rPr>
          <w:rFonts w:ascii="宋体" w:hAnsi="宋体"/>
          <w:color w:val="auto"/>
          <w:sz w:val="24"/>
          <w:highlight w:val="none"/>
        </w:rPr>
      </w:pPr>
      <w:r>
        <w:rPr>
          <w:rFonts w:ascii="宋体" w:hAnsi="宋体"/>
          <w:b/>
          <w:color w:val="auto"/>
          <w:sz w:val="24"/>
          <w:highlight w:val="none"/>
        </w:rPr>
        <w:t>一</w:t>
      </w:r>
      <w:r>
        <w:rPr>
          <w:rFonts w:ascii="宋体" w:hAnsi="宋体"/>
          <w:color w:val="auto"/>
          <w:sz w:val="24"/>
          <w:highlight w:val="none"/>
        </w:rPr>
        <w:t>、中标供应商和采购人在发出《中标通知书》后</w:t>
      </w:r>
      <w:r>
        <w:rPr>
          <w:rFonts w:hint="eastAsia" w:ascii="宋体" w:hAnsi="宋体"/>
          <w:color w:val="auto"/>
          <w:sz w:val="24"/>
          <w:highlight w:val="none"/>
          <w:lang w:val="en-US" w:eastAsia="zh-CN"/>
        </w:rPr>
        <w:t>5</w:t>
      </w:r>
      <w:r>
        <w:rPr>
          <w:rFonts w:ascii="宋体" w:hAnsi="宋体"/>
          <w:color w:val="auto"/>
          <w:sz w:val="24"/>
          <w:highlight w:val="none"/>
        </w:rPr>
        <w:t>日内签订合同。合同签订后中标供应商方可履约，否则引起的一切后果由中标供应商自行承担。</w:t>
      </w:r>
      <w:r>
        <w:rPr>
          <w:rFonts w:ascii="宋体" w:hAnsi="宋体"/>
          <w:color w:val="auto"/>
          <w:sz w:val="24"/>
          <w:highlight w:val="none"/>
          <w:lang w:val="zh-CN"/>
        </w:rPr>
        <w:t>所签合同不得对采购文件作实质性修改</w:t>
      </w:r>
      <w:r>
        <w:rPr>
          <w:rFonts w:ascii="宋体" w:hAnsi="宋体"/>
          <w:color w:val="auto"/>
          <w:sz w:val="24"/>
          <w:highlight w:val="none"/>
        </w:rPr>
        <w:t>。采购人不得向中标供应商提出不合理的要求作为签订合同的条件，不得与中标供应商私下订立背离采购文件实质性内容的协议。</w:t>
      </w:r>
    </w:p>
    <w:p w14:paraId="319E78D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的原则上5个工作日内支付相应款项。</w:t>
      </w:r>
    </w:p>
    <w:p w14:paraId="33FF3FD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三、采购人故意推迟项目验收时间的，与中标供应商串通或要求中标供应商</w:t>
      </w:r>
      <w:r>
        <w:rPr>
          <w:rFonts w:ascii="宋体" w:hAnsi="宋体"/>
          <w:color w:val="auto"/>
          <w:kern w:val="0"/>
          <w:sz w:val="24"/>
          <w:szCs w:val="18"/>
          <w:highlight w:val="none"/>
          <w:lang w:bidi="zh-CN"/>
        </w:rPr>
        <w:t>通过减少货物数量或降低服务标准的，在履行合同中采取更改配置、调换物品等手段的，</w:t>
      </w:r>
      <w:r>
        <w:rPr>
          <w:rFonts w:ascii="宋体" w:hAnsi="宋体"/>
          <w:color w:val="auto"/>
          <w:sz w:val="24"/>
          <w:highlight w:val="none"/>
        </w:rPr>
        <w:t>要求中标供应商出具虚假发票或任意更改销售发票的，谋取不正当利益的，承担相应的法律责任。</w:t>
      </w:r>
    </w:p>
    <w:p w14:paraId="43335A3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57FC9CA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五、不响应付款方式的，视同无效投标处理。</w:t>
      </w:r>
    </w:p>
    <w:p w14:paraId="1643186B">
      <w:pPr>
        <w:snapToGrid w:val="0"/>
        <w:spacing w:line="360" w:lineRule="auto"/>
        <w:ind w:firstLine="480" w:firstLineChars="200"/>
        <w:rPr>
          <w:rFonts w:ascii="宋体" w:eastAsia="宋体"/>
          <w:color w:val="auto"/>
          <w:highlight w:val="none"/>
        </w:rPr>
      </w:pPr>
      <w:r>
        <w:rPr>
          <w:rFonts w:ascii="宋体" w:hAnsi="宋体"/>
          <w:color w:val="auto"/>
          <w:sz w:val="24"/>
          <w:highlight w:val="none"/>
        </w:rPr>
        <w:t>每次付款前，中标供应商须根据结算金额按国家有关财税规定开出合法发票交采购方办理付款手续。</w:t>
      </w:r>
    </w:p>
    <w:p w14:paraId="72EBC444">
      <w:pPr>
        <w:snapToGrid w:val="0"/>
        <w:spacing w:line="360" w:lineRule="auto"/>
        <w:contextualSpacing/>
        <w:jc w:val="center"/>
        <w:rPr>
          <w:rStyle w:val="121"/>
          <w:rFonts w:hint="default"/>
          <w:bCs/>
          <w:color w:val="auto"/>
          <w:sz w:val="28"/>
          <w:szCs w:val="28"/>
          <w:highlight w:val="none"/>
        </w:rPr>
      </w:pPr>
      <w:r>
        <w:rPr>
          <w:rFonts w:ascii="宋体" w:hAnsi="宋体"/>
          <w:color w:val="auto"/>
          <w:sz w:val="24"/>
          <w:highlight w:val="none"/>
        </w:rPr>
        <w:br w:type="page"/>
      </w:r>
      <w:r>
        <w:rPr>
          <w:rFonts w:ascii="宋体" w:hAnsi="宋体"/>
          <w:color w:val="auto"/>
          <w:sz w:val="24"/>
          <w:highlight w:val="none"/>
        </w:rPr>
        <w:t xml:space="preserve"> </w:t>
      </w:r>
      <w:r>
        <w:rPr>
          <w:rStyle w:val="121"/>
          <w:rFonts w:hint="default"/>
          <w:bCs/>
          <w:color w:val="auto"/>
          <w:sz w:val="28"/>
          <w:szCs w:val="28"/>
          <w:highlight w:val="none"/>
        </w:rPr>
        <w:t>第七章  质疑提出和处理</w:t>
      </w:r>
    </w:p>
    <w:p w14:paraId="0DB7D9B5">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rPr>
      </w:pPr>
      <w:r>
        <w:rPr>
          <w:rFonts w:ascii="宋体" w:hAnsi="宋体"/>
          <w:b/>
          <w:color w:val="auto"/>
          <w:kern w:val="0"/>
          <w:sz w:val="24"/>
          <w:highlight w:val="none"/>
        </w:rPr>
        <w:t>一、质疑的提出</w:t>
      </w:r>
    </w:p>
    <w:p w14:paraId="5450266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(一)质疑人的身份要求 </w:t>
      </w:r>
    </w:p>
    <w:p w14:paraId="5C4D0B6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1.质疑人必须是直接参加本次招标活动的当事人。</w:t>
      </w:r>
    </w:p>
    <w:p w14:paraId="4F89EE8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2.未参加投标活动的供应商或在投标活动中自身权益未受到损害的供应商所提出的质疑不予受理。</w:t>
      </w:r>
    </w:p>
    <w:p w14:paraId="6F5F39E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(二)质疑提出的格式要求</w:t>
      </w:r>
    </w:p>
    <w:p w14:paraId="5668019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1.质疑实行实名制，不得进行虚假、恶意质疑，未按上述要求提交的质疑函，将不予受理。</w:t>
      </w:r>
    </w:p>
    <w:p w14:paraId="44ED2BB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2.质疑函应包括：</w:t>
      </w:r>
    </w:p>
    <w:p w14:paraId="0DF440A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（1）质疑投标人的名称、地址、邮编、联系人及联系电话；</w:t>
      </w:r>
    </w:p>
    <w:p w14:paraId="358282B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（2）具体、明确的质疑事项及明确的请求；</w:t>
      </w:r>
    </w:p>
    <w:p w14:paraId="21B2135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（3）质疑的事实依据和必要的法律依据；</w:t>
      </w:r>
    </w:p>
    <w:p w14:paraId="59BF3DF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（4）提起质疑的日期；</w:t>
      </w:r>
    </w:p>
    <w:p w14:paraId="1385033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（5）认为自己合法权益受到损害或可能受到损害的相关证据材料；</w:t>
      </w:r>
    </w:p>
    <w:p w14:paraId="033BD17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4DCFC39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3.质疑函需遵循的原则：</w:t>
      </w:r>
    </w:p>
    <w:p w14:paraId="59528F5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34554B0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（三）质疑提出的时效要求</w:t>
      </w:r>
    </w:p>
    <w:p w14:paraId="3818EC7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1.投标人认为采购文件、采购过程和采购结果使自己的权益受到损害的，可以在知道或应知其权益受到损害之日起七个工作日内，以书面形式向采购人提出质疑。上述应知其权益受到损害之日，是指：</w:t>
      </w:r>
    </w:p>
    <w:p w14:paraId="250B68F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（1）对可以质疑的采购文件提出质疑的，为收到采购文件之日或者采购文件公告期限届满之日；</w:t>
      </w:r>
    </w:p>
    <w:p w14:paraId="5427AE0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（2）对采购过程提出质疑的，为各采购程序环节结束之日；</w:t>
      </w:r>
    </w:p>
    <w:p w14:paraId="5B63CF0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（3）对中标或者成交结果提出质疑的，为中标或者成交结果公告期限届满之日。</w:t>
      </w:r>
    </w:p>
    <w:p w14:paraId="1C75E0C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投标人认为采购文件使自己的权益受到损害的，可以按照招标公告第八项要求向采购人提出质疑；投标人认为采购过程和采购结果使自己的权益受到损害的，可以以书面形式向采购人提出质疑。</w:t>
      </w:r>
    </w:p>
    <w:p w14:paraId="4400055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2.投标人应在法定质疑期一次性提出针对同一采购程序环节的质疑。</w:t>
      </w:r>
    </w:p>
    <w:p w14:paraId="2273ED3C">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二、《质疑函》的受理和回复</w:t>
      </w:r>
    </w:p>
    <w:p w14:paraId="10F6312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1.收到质疑函后，采购人将对质疑的形式和内容进行审查，如质疑函内容、格式不符合规定，采购人将告知质疑人进行补正。</w:t>
      </w:r>
    </w:p>
    <w:p w14:paraId="528D615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 质疑人应当在法定质疑期限内进行补正并重新提交质疑函，拒不补正或者在法定期限内未重新提交质疑函的，为无效质疑，采购人将不予受理。</w:t>
      </w:r>
    </w:p>
    <w:p w14:paraId="29DDEA2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3.采购人答复供应商质疑应当采用书面方式并依法送达，质疑供应商或其委托代理人拒绝签收的视为已经送达。</w:t>
      </w:r>
    </w:p>
    <w:p w14:paraId="4419D91D">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三、质疑处理</w:t>
      </w:r>
    </w:p>
    <w:p w14:paraId="1092B127">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1、质疑成立的处理。</w:t>
      </w:r>
    </w:p>
    <w:p w14:paraId="704F459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（1）对于内容、格式符合规定的质疑函，采购人在收到投标供应商的书面质疑后七个工作日内作出书面答复，但答复的内容不得涉及商业秘密。</w:t>
      </w:r>
    </w:p>
    <w:p w14:paraId="7DC6BCB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（2）对采购文件提出的质疑，依法通过澄清或者修改可以继续开展采购活动的，澄清或者修改采购文件后继续开展采购活动；否则应当修改采购文件后重新开展采购活动。</w:t>
      </w:r>
    </w:p>
    <w:p w14:paraId="566AB38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（3）对采购过程、中标或者成交结果提出的质疑，合格供应商符合法定数量时，可以从合格的中标候选人中另行确定中标、</w:t>
      </w:r>
      <w:r>
        <w:rPr>
          <w:rFonts w:hint="eastAsia" w:ascii="宋体" w:hAnsi="宋体"/>
          <w:color w:val="auto"/>
          <w:sz w:val="24"/>
          <w:highlight w:val="none"/>
          <w:lang w:eastAsia="zh-CN"/>
        </w:rPr>
        <w:t>中标人</w:t>
      </w:r>
      <w:r>
        <w:rPr>
          <w:rFonts w:ascii="宋体" w:hAnsi="宋体"/>
          <w:color w:val="auto"/>
          <w:sz w:val="24"/>
          <w:highlight w:val="none"/>
        </w:rPr>
        <w:t>，或重新开展采购活动。</w:t>
      </w:r>
    </w:p>
    <w:p w14:paraId="064EB9F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质疑答复导致中标、成交结果改变的，采购人应当将有关情况书面报告本级财政部门。</w:t>
      </w:r>
    </w:p>
    <w:p w14:paraId="0A0C2FC2">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2、质疑不成立的处理。</w:t>
      </w:r>
    </w:p>
    <w:p w14:paraId="4061B46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（1）若质疑不成立，或者成立未对中标、成交结果构成影响的，继续开展采购活动。</w:t>
      </w:r>
    </w:p>
    <w:p w14:paraId="4513631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（2）对明显有违背事实的、经相关专家或评委认定无依据的、经其他供应商举证无依据的质疑，作违约处理，对其中每一项不成立的质疑给予质疑人1年内禁入由采购人组织的采购活动的违约处理。</w:t>
      </w:r>
    </w:p>
    <w:p w14:paraId="5C74353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（3）质疑人承担使用虚假材料或恶意方式质疑的法律责任。</w:t>
      </w:r>
    </w:p>
    <w:p w14:paraId="0FE42900">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3、虚假质疑的处理</w:t>
      </w:r>
    </w:p>
    <w:p w14:paraId="0C156A70">
      <w:pPr>
        <w:snapToGrid w:val="0"/>
        <w:spacing w:line="360" w:lineRule="auto"/>
        <w:ind w:firstLine="480" w:firstLineChars="200"/>
        <w:rPr>
          <w:rFonts w:ascii="宋体" w:hAnsi="宋体"/>
          <w:b/>
          <w:color w:val="auto"/>
          <w:sz w:val="24"/>
          <w:highlight w:val="none"/>
        </w:rPr>
      </w:pPr>
      <w:r>
        <w:rPr>
          <w:rFonts w:ascii="宋体" w:hAnsi="宋体"/>
          <w:color w:val="auto"/>
          <w:sz w:val="24"/>
          <w:highlight w:val="none"/>
        </w:rPr>
        <w:t>投标人提出书面质疑必须有理、有据，不得恶意质疑或提交虚假质疑。否则，一经查实，将依据采购的有关规定，报请采购监管部门对该投标人进行相应的行政处罚。</w:t>
      </w:r>
    </w:p>
    <w:p w14:paraId="5492DA80">
      <w:pPr>
        <w:topLinePunct/>
        <w:snapToGrid w:val="0"/>
        <w:spacing w:line="360" w:lineRule="auto"/>
        <w:jc w:val="center"/>
        <w:rPr>
          <w:rStyle w:val="121"/>
          <w:rFonts w:hint="default"/>
          <w:bCs/>
          <w:color w:val="auto"/>
          <w:sz w:val="28"/>
          <w:szCs w:val="28"/>
          <w:highlight w:val="none"/>
        </w:rPr>
      </w:pPr>
      <w:r>
        <w:rPr>
          <w:rStyle w:val="121"/>
          <w:rFonts w:hint="default"/>
          <w:bCs/>
          <w:color w:val="auto"/>
          <w:sz w:val="28"/>
          <w:szCs w:val="28"/>
          <w:highlight w:val="none"/>
        </w:rPr>
        <w:br w:type="page"/>
      </w:r>
      <w:r>
        <w:rPr>
          <w:rStyle w:val="121"/>
          <w:rFonts w:hint="default"/>
          <w:bCs/>
          <w:color w:val="auto"/>
          <w:sz w:val="28"/>
          <w:szCs w:val="28"/>
          <w:highlight w:val="none"/>
        </w:rPr>
        <w:t>第八章    投标文件组成</w:t>
      </w:r>
    </w:p>
    <w:p w14:paraId="34A4020F">
      <w:pPr>
        <w:snapToGrid w:val="0"/>
        <w:spacing w:line="360" w:lineRule="auto"/>
        <w:ind w:firstLine="470" w:firstLineChars="196"/>
        <w:rPr>
          <w:rFonts w:ascii="宋体" w:hAnsi="宋体"/>
          <w:b/>
          <w:color w:val="auto"/>
          <w:sz w:val="24"/>
          <w:highlight w:val="none"/>
        </w:rPr>
      </w:pPr>
      <w:r>
        <w:rPr>
          <w:rFonts w:ascii="宋体" w:hAnsi="宋体"/>
          <w:b/>
          <w:color w:val="auto"/>
          <w:sz w:val="24"/>
          <w:highlight w:val="none"/>
        </w:rPr>
        <w:t>投标文件由资格后审材料、</w:t>
      </w:r>
      <w:r>
        <w:rPr>
          <w:rFonts w:hint="eastAsia" w:ascii="宋体" w:hAnsi="宋体"/>
          <w:b/>
          <w:color w:val="auto"/>
          <w:sz w:val="24"/>
          <w:highlight w:val="none"/>
        </w:rPr>
        <w:t>商务技术标</w:t>
      </w:r>
      <w:r>
        <w:rPr>
          <w:rFonts w:ascii="宋体" w:hAnsi="宋体"/>
          <w:b/>
          <w:color w:val="auto"/>
          <w:sz w:val="24"/>
          <w:highlight w:val="none"/>
        </w:rPr>
        <w:t>、价格标三部分组成。</w:t>
      </w:r>
    </w:p>
    <w:p w14:paraId="77B4655E">
      <w:pPr>
        <w:snapToGrid w:val="0"/>
        <w:spacing w:line="360" w:lineRule="auto"/>
        <w:ind w:firstLine="480" w:firstLineChars="200"/>
        <w:jc w:val="left"/>
        <w:rPr>
          <w:rFonts w:ascii="宋体" w:hAnsi="宋体"/>
          <w:b/>
          <w:color w:val="auto"/>
          <w:sz w:val="24"/>
          <w:highlight w:val="none"/>
        </w:rPr>
      </w:pPr>
      <w:r>
        <w:rPr>
          <w:rFonts w:ascii="宋体" w:hAnsi="宋体"/>
          <w:b/>
          <w:color w:val="auto"/>
          <w:sz w:val="24"/>
          <w:highlight w:val="none"/>
        </w:rPr>
        <w:t>一、资格后审材料</w:t>
      </w:r>
    </w:p>
    <w:p w14:paraId="526B66C6">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1、关于资格的声明函；</w:t>
      </w:r>
    </w:p>
    <w:p w14:paraId="1D01D14C">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2、法定代表人参加投标的，必须提供法定代表人身份证明及法定代表人本人身份证复印件；</w:t>
      </w:r>
    </w:p>
    <w:p w14:paraId="75F08D12">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非法定代表人参加投标的，必须提供法定代表人签名或盖章的授权委托书及</w:t>
      </w:r>
      <w:r>
        <w:rPr>
          <w:rFonts w:ascii="宋体" w:hAnsi="宋体"/>
          <w:b/>
          <w:color w:val="auto"/>
          <w:sz w:val="24"/>
          <w:highlight w:val="none"/>
        </w:rPr>
        <w:t>法定代表人和被授权人两人的身份证复印件</w:t>
      </w:r>
      <w:r>
        <w:rPr>
          <w:rFonts w:ascii="宋体" w:hAnsi="宋体"/>
          <w:color w:val="auto"/>
          <w:sz w:val="24"/>
          <w:highlight w:val="none"/>
        </w:rPr>
        <w:t>（格式参见附件）；</w:t>
      </w:r>
    </w:p>
    <w:p w14:paraId="6E8479F5">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3、投标响应函</w:t>
      </w:r>
    </w:p>
    <w:p w14:paraId="0FD44C09">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4、招标公告资格要求提供相应的佐证材料（加盖单位公章）：</w:t>
      </w:r>
    </w:p>
    <w:p w14:paraId="28D8DC21">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营业执照或事业法人单位登记证书</w:t>
      </w:r>
      <w:r>
        <w:rPr>
          <w:rFonts w:ascii="宋体" w:hAnsi="宋体"/>
          <w:color w:val="auto"/>
          <w:sz w:val="24"/>
          <w:highlight w:val="none"/>
        </w:rPr>
        <w:t>；</w:t>
      </w:r>
    </w:p>
    <w:p w14:paraId="2DD0C169">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4.2企业202</w:t>
      </w:r>
      <w:r>
        <w:rPr>
          <w:rFonts w:hint="eastAsia" w:ascii="宋体" w:hAnsi="宋体"/>
          <w:color w:val="auto"/>
          <w:sz w:val="24"/>
          <w:highlight w:val="none"/>
          <w:lang w:val="en-US" w:eastAsia="zh-CN"/>
        </w:rPr>
        <w:t>2或2023</w:t>
      </w:r>
      <w:r>
        <w:rPr>
          <w:rFonts w:ascii="宋体" w:hAnsi="宋体"/>
          <w:color w:val="auto"/>
          <w:sz w:val="24"/>
          <w:highlight w:val="none"/>
        </w:rPr>
        <w:t>年度财务状况报告(</w:t>
      </w:r>
      <w:r>
        <w:rPr>
          <w:rFonts w:hint="eastAsia" w:ascii="宋体" w:hAnsi="宋体"/>
          <w:color w:val="auto"/>
          <w:sz w:val="24"/>
          <w:highlight w:val="none"/>
        </w:rPr>
        <w:t>成立不满</w:t>
      </w:r>
      <w:r>
        <w:rPr>
          <w:rFonts w:ascii="宋体" w:hAnsi="宋体"/>
          <w:color w:val="auto"/>
          <w:sz w:val="24"/>
          <w:highlight w:val="none"/>
        </w:rPr>
        <w:t>一年可不提供)；</w:t>
      </w:r>
    </w:p>
    <w:p w14:paraId="11E2AC69">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4.3企业</w:t>
      </w:r>
      <w:r>
        <w:rPr>
          <w:rFonts w:hint="eastAsia" w:ascii="宋体" w:hAnsi="宋体"/>
          <w:color w:val="auto"/>
          <w:sz w:val="24"/>
          <w:highlight w:val="none"/>
        </w:rPr>
        <w:t>自202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月以来</w:t>
      </w:r>
      <w:r>
        <w:rPr>
          <w:rFonts w:ascii="宋体" w:hAnsi="宋体"/>
          <w:color w:val="auto"/>
          <w:sz w:val="24"/>
          <w:highlight w:val="none"/>
        </w:rPr>
        <w:t>任意一个月依法缴纳税收和社会保障资金的相关证明材料；</w:t>
      </w:r>
    </w:p>
    <w:p w14:paraId="2177006C">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提供复印件并加盖单位公章。</w:t>
      </w:r>
    </w:p>
    <w:p w14:paraId="6AFEAC54">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5、投标供应商须提供参与本次项目采购活动前三年内，在经营活动中没有重大违法记录的书面《无重大违法记录声明函》（格式参见附件）；</w:t>
      </w:r>
    </w:p>
    <w:p w14:paraId="12B5BA40">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6、投标人根据招标文件要求认为需要提交的其他资料。</w:t>
      </w:r>
    </w:p>
    <w:p w14:paraId="1AF89BCB">
      <w:pPr>
        <w:snapToGrid w:val="0"/>
        <w:spacing w:line="360" w:lineRule="auto"/>
        <w:ind w:firstLine="480" w:firstLineChars="200"/>
        <w:jc w:val="left"/>
        <w:rPr>
          <w:rFonts w:hint="eastAsia" w:ascii="宋体" w:hAnsi="宋体" w:eastAsia="宋体"/>
          <w:b/>
          <w:color w:val="auto"/>
          <w:sz w:val="24"/>
          <w:highlight w:val="none"/>
          <w:lang w:val="en-US" w:eastAsia="zh-CN"/>
        </w:rPr>
      </w:pPr>
      <w:r>
        <w:rPr>
          <w:rFonts w:ascii="宋体" w:hAnsi="宋体"/>
          <w:b/>
          <w:color w:val="auto"/>
          <w:sz w:val="24"/>
          <w:highlight w:val="none"/>
        </w:rPr>
        <w:t>二、</w:t>
      </w:r>
      <w:r>
        <w:rPr>
          <w:rFonts w:hint="eastAsia" w:ascii="宋体" w:hAnsi="宋体"/>
          <w:b/>
          <w:color w:val="auto"/>
          <w:sz w:val="24"/>
          <w:highlight w:val="none"/>
        </w:rPr>
        <w:t>商务技术</w:t>
      </w:r>
      <w:r>
        <w:rPr>
          <w:rFonts w:hint="eastAsia" w:ascii="宋体" w:hAnsi="宋体"/>
          <w:b/>
          <w:color w:val="auto"/>
          <w:sz w:val="24"/>
          <w:highlight w:val="none"/>
          <w:lang w:val="en-US" w:eastAsia="zh-CN"/>
        </w:rPr>
        <w:t>部分</w:t>
      </w:r>
    </w:p>
    <w:p w14:paraId="7EC3B419">
      <w:pPr>
        <w:widowControl/>
        <w:snapToGrid w:val="0"/>
        <w:spacing w:line="360" w:lineRule="auto"/>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color w:val="auto"/>
          <w:sz w:val="24"/>
          <w:highlight w:val="none"/>
        </w:rPr>
        <w:t>商务</w:t>
      </w:r>
      <w:r>
        <w:rPr>
          <w:rFonts w:ascii="宋体" w:hAnsi="宋体"/>
          <w:color w:val="auto"/>
          <w:sz w:val="24"/>
          <w:highlight w:val="none"/>
        </w:rPr>
        <w:t>投标响应文件。以下响应文件的内容，不得有缺项或漏项。否则被视为未实质性响应招标文件要求而作无效投标处理</w:t>
      </w:r>
      <w:r>
        <w:rPr>
          <w:rFonts w:hint="eastAsia" w:ascii="宋体" w:hAnsi="宋体"/>
          <w:color w:val="auto"/>
          <w:sz w:val="24"/>
          <w:highlight w:val="none"/>
          <w:lang w:eastAsia="zh-CN"/>
        </w:rPr>
        <w:t>。</w:t>
      </w:r>
    </w:p>
    <w:p w14:paraId="3BFF236A">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1、招标文件评审方法中所涉及的事项需提供的所有资料；</w:t>
      </w:r>
    </w:p>
    <w:p w14:paraId="6B05B304">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2、招标文件中未涉及的事项，投标人认为需要提交的其他资料。</w:t>
      </w:r>
    </w:p>
    <w:p w14:paraId="7E022CA9">
      <w:pPr>
        <w:widowControl/>
        <w:snapToGrid w:val="0"/>
        <w:spacing w:line="360" w:lineRule="auto"/>
        <w:ind w:firstLine="480" w:firstLineChars="200"/>
        <w:jc w:val="left"/>
        <w:rPr>
          <w:rFonts w:ascii="宋体" w:eastAsia="宋体"/>
          <w:b/>
          <w:bCs w:val="0"/>
          <w:color w:val="auto"/>
          <w:sz w:val="24"/>
          <w:highlight w:val="none"/>
        </w:rPr>
      </w:pPr>
      <w:r>
        <w:rPr>
          <w:rFonts w:ascii="宋体" w:eastAsia="宋体"/>
          <w:b/>
          <w:bCs w:val="0"/>
          <w:color w:val="auto"/>
          <w:sz w:val="24"/>
          <w:highlight w:val="none"/>
        </w:rPr>
        <w:t>特别提醒：</w:t>
      </w:r>
      <w:r>
        <w:rPr>
          <w:rFonts w:hint="eastAsia" w:ascii="宋体" w:eastAsia="宋体"/>
          <w:b/>
          <w:bCs w:val="0"/>
          <w:color w:val="auto"/>
          <w:sz w:val="24"/>
          <w:highlight w:val="none"/>
          <w:lang w:val="en-US" w:eastAsia="zh-CN"/>
        </w:rPr>
        <w:t>招标文件</w:t>
      </w:r>
      <w:r>
        <w:rPr>
          <w:rFonts w:ascii="宋体" w:eastAsia="宋体"/>
          <w:b/>
          <w:bCs w:val="0"/>
          <w:color w:val="auto"/>
          <w:sz w:val="24"/>
          <w:highlight w:val="none"/>
        </w:rPr>
        <w:t>所须提供的材料（须加盖公章）按招标文件要求装订，密封，递交。</w:t>
      </w:r>
    </w:p>
    <w:p w14:paraId="0B751462">
      <w:pPr>
        <w:snapToGrid w:val="0"/>
        <w:spacing w:line="360" w:lineRule="auto"/>
        <w:ind w:firstLine="460" w:firstLineChars="200"/>
        <w:rPr>
          <w:rFonts w:ascii="宋体" w:hAnsi="宋体" w:cs="宋体"/>
          <w:b/>
          <w:bCs/>
          <w:color w:val="auto"/>
          <w:sz w:val="23"/>
          <w:szCs w:val="23"/>
          <w:highlight w:val="none"/>
        </w:rPr>
      </w:pPr>
      <w:r>
        <w:rPr>
          <w:rFonts w:ascii="宋体" w:hAnsi="宋体"/>
          <w:b/>
          <w:bCs/>
          <w:color w:val="auto"/>
          <w:sz w:val="23"/>
          <w:szCs w:val="23"/>
          <w:highlight w:val="none"/>
        </w:rPr>
        <w:t>“资格审查文件”、</w:t>
      </w:r>
      <w:r>
        <w:rPr>
          <w:rFonts w:hint="eastAsia" w:ascii="宋体" w:hAnsi="宋体"/>
          <w:b/>
          <w:bCs/>
          <w:color w:val="auto"/>
          <w:sz w:val="23"/>
          <w:szCs w:val="23"/>
          <w:highlight w:val="none"/>
        </w:rPr>
        <w:t>“商务技术</w:t>
      </w:r>
      <w:r>
        <w:rPr>
          <w:rFonts w:hint="eastAsia" w:ascii="宋体" w:hAnsi="宋体"/>
          <w:b/>
          <w:bCs/>
          <w:color w:val="auto"/>
          <w:sz w:val="23"/>
          <w:szCs w:val="23"/>
          <w:highlight w:val="none"/>
          <w:lang w:val="en-US" w:eastAsia="zh-CN"/>
        </w:rPr>
        <w:t>文件</w:t>
      </w:r>
      <w:r>
        <w:rPr>
          <w:rFonts w:hint="eastAsia" w:ascii="宋体" w:hAnsi="宋体"/>
          <w:b/>
          <w:bCs/>
          <w:color w:val="auto"/>
          <w:sz w:val="23"/>
          <w:szCs w:val="23"/>
          <w:highlight w:val="none"/>
        </w:rPr>
        <w:t>”</w:t>
      </w:r>
      <w:r>
        <w:rPr>
          <w:rFonts w:ascii="宋体" w:hAnsi="宋体"/>
          <w:b/>
          <w:bCs/>
          <w:color w:val="auto"/>
          <w:sz w:val="23"/>
          <w:szCs w:val="23"/>
          <w:highlight w:val="none"/>
        </w:rPr>
        <w:t>涉及的相关原件请带至开标现场备查。未携带原件或因携带原件不全所引起的后果由投标人自行承担。</w:t>
      </w:r>
      <w:r>
        <w:rPr>
          <w:rFonts w:hint="eastAsia" w:ascii="宋体" w:hAnsi="宋体" w:cs="宋体"/>
          <w:b/>
          <w:bCs/>
          <w:color w:val="auto"/>
          <w:sz w:val="23"/>
          <w:szCs w:val="23"/>
          <w:highlight w:val="none"/>
        </w:rPr>
        <w:t>以上材料如为复印件均需加盖投标人公章。</w:t>
      </w:r>
    </w:p>
    <w:p w14:paraId="4F8F8DD1">
      <w:pPr>
        <w:snapToGrid w:val="0"/>
        <w:spacing w:line="360" w:lineRule="auto"/>
        <w:ind w:firstLine="480" w:firstLineChars="200"/>
        <w:rPr>
          <w:rFonts w:hint="eastAsia" w:ascii="宋体" w:hAnsi="宋体" w:eastAsia="宋体"/>
          <w:b/>
          <w:color w:val="auto"/>
          <w:sz w:val="24"/>
          <w:highlight w:val="none"/>
          <w:lang w:eastAsia="zh-CN"/>
        </w:rPr>
      </w:pPr>
      <w:r>
        <w:rPr>
          <w:rFonts w:ascii="宋体" w:hAnsi="宋体"/>
          <w:b/>
          <w:color w:val="auto"/>
          <w:sz w:val="24"/>
          <w:highlight w:val="none"/>
        </w:rPr>
        <w:t>三、价格</w:t>
      </w:r>
      <w:r>
        <w:rPr>
          <w:rFonts w:hint="eastAsia" w:ascii="宋体" w:hAnsi="宋体"/>
          <w:b/>
          <w:color w:val="auto"/>
          <w:sz w:val="24"/>
          <w:highlight w:val="none"/>
          <w:lang w:val="en-US" w:eastAsia="zh-CN"/>
        </w:rPr>
        <w:t>部分</w:t>
      </w:r>
    </w:p>
    <w:p w14:paraId="71986DE9">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开标一览表；</w:t>
      </w:r>
    </w:p>
    <w:p w14:paraId="5D8CAB58">
      <w:pPr>
        <w:widowControl/>
        <w:snapToGrid w:val="0"/>
        <w:spacing w:line="360" w:lineRule="auto"/>
        <w:ind w:firstLine="480" w:firstLineChars="200"/>
        <w:jc w:val="left"/>
        <w:rPr>
          <w:rFonts w:ascii="宋体" w:hAnsi="宋体"/>
          <w:b/>
          <w:color w:val="auto"/>
          <w:sz w:val="24"/>
          <w:highlight w:val="none"/>
        </w:rPr>
      </w:pPr>
      <w:r>
        <w:rPr>
          <w:rFonts w:ascii="宋体" w:hAnsi="宋体"/>
          <w:color w:val="auto"/>
          <w:sz w:val="24"/>
          <w:highlight w:val="none"/>
        </w:rPr>
        <w:br w:type="page"/>
      </w:r>
      <w:r>
        <w:rPr>
          <w:rFonts w:ascii="宋体" w:hAnsi="宋体"/>
          <w:b/>
          <w:color w:val="auto"/>
          <w:sz w:val="24"/>
          <w:highlight w:val="none"/>
        </w:rPr>
        <w:t>附件：</w:t>
      </w:r>
    </w:p>
    <w:p w14:paraId="0E50732C">
      <w:pPr>
        <w:tabs>
          <w:tab w:val="left" w:pos="1965"/>
        </w:tabs>
        <w:rPr>
          <w:rFonts w:ascii="宋体" w:hAnsi="宋体"/>
          <w:color w:val="auto"/>
          <w:sz w:val="28"/>
          <w:szCs w:val="28"/>
          <w:highlight w:val="none"/>
        </w:rPr>
      </w:pPr>
      <w:r>
        <w:rPr>
          <w:rFonts w:hint="eastAsia" w:ascii="宋体" w:hAnsi="宋体"/>
          <w:color w:val="auto"/>
          <w:sz w:val="28"/>
          <w:szCs w:val="28"/>
          <w:highlight w:val="none"/>
          <w:lang w:val="en-US" w:eastAsia="zh-CN"/>
        </w:rPr>
        <w:t>招标文件</w:t>
      </w:r>
      <w:r>
        <w:rPr>
          <w:rFonts w:hint="eastAsia" w:ascii="宋体" w:hAnsi="宋体"/>
          <w:color w:val="auto"/>
          <w:sz w:val="28"/>
          <w:szCs w:val="28"/>
          <w:highlight w:val="none"/>
        </w:rPr>
        <w:t>格式：</w:t>
      </w:r>
    </w:p>
    <w:p w14:paraId="177745B3">
      <w:pPr>
        <w:tabs>
          <w:tab w:val="left" w:pos="1965"/>
        </w:tabs>
        <w:jc w:val="right"/>
        <w:rPr>
          <w:rFonts w:ascii="宋体" w:hAnsi="宋体"/>
          <w:color w:val="auto"/>
          <w:sz w:val="28"/>
          <w:szCs w:val="28"/>
          <w:highlight w:val="none"/>
        </w:rPr>
      </w:pPr>
      <w:r>
        <w:rPr>
          <w:rFonts w:hint="eastAsia" w:ascii="宋体" w:hAnsi="宋体"/>
          <w:color w:val="auto"/>
          <w:sz w:val="28"/>
          <w:szCs w:val="28"/>
          <w:highlight w:val="none"/>
        </w:rPr>
        <w:t>封面</w:t>
      </w:r>
    </w:p>
    <w:p w14:paraId="17BDD292">
      <w:pPr>
        <w:tabs>
          <w:tab w:val="left" w:pos="2020"/>
          <w:tab w:val="center" w:pos="4535"/>
        </w:tabs>
        <w:spacing w:line="400" w:lineRule="exact"/>
        <w:ind w:firstLine="280" w:firstLineChars="100"/>
        <w:rPr>
          <w:rFonts w:ascii="宋体" w:hAnsi="宋体"/>
          <w:color w:val="auto"/>
          <w:sz w:val="28"/>
          <w:szCs w:val="20"/>
          <w:highlight w:val="none"/>
        </w:rPr>
      </w:pPr>
    </w:p>
    <w:p w14:paraId="5F5D6FBD">
      <w:pPr>
        <w:tabs>
          <w:tab w:val="left" w:pos="2020"/>
          <w:tab w:val="center" w:pos="4535"/>
        </w:tabs>
        <w:spacing w:line="400" w:lineRule="exact"/>
        <w:ind w:firstLine="280" w:firstLineChars="100"/>
        <w:rPr>
          <w:rFonts w:ascii="宋体" w:hAnsi="宋体"/>
          <w:color w:val="auto"/>
          <w:sz w:val="28"/>
          <w:szCs w:val="20"/>
          <w:highlight w:val="none"/>
        </w:rPr>
      </w:pPr>
    </w:p>
    <w:p w14:paraId="11F29C85">
      <w:pPr>
        <w:tabs>
          <w:tab w:val="left" w:pos="159"/>
        </w:tabs>
        <w:rPr>
          <w:rFonts w:ascii="宋体" w:hAnsi="宋体"/>
          <w:color w:val="auto"/>
          <w:sz w:val="28"/>
          <w:szCs w:val="28"/>
          <w:highlight w:val="none"/>
        </w:rPr>
      </w:pPr>
    </w:p>
    <w:p w14:paraId="4A6ECBE0">
      <w:pPr>
        <w:spacing w:after="60" w:line="360" w:lineRule="auto"/>
        <w:ind w:left="1894" w:leftChars="171" w:hanging="1535" w:hangingChars="533"/>
        <w:jc w:val="center"/>
        <w:rPr>
          <w:rFonts w:ascii="宋体" w:hAnsi="宋体"/>
          <w:color w:val="auto"/>
          <w:szCs w:val="21"/>
          <w:highlight w:val="none"/>
        </w:rPr>
      </w:pP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54983ED7">
      <w:pPr>
        <w:spacing w:after="60" w:line="360" w:lineRule="auto"/>
        <w:jc w:val="center"/>
        <w:rPr>
          <w:rFonts w:ascii="宋体" w:hAnsi="宋体"/>
          <w:b/>
          <w:bCs/>
          <w:color w:val="auto"/>
          <w:sz w:val="44"/>
          <w:szCs w:val="44"/>
          <w:highlight w:val="none"/>
        </w:rPr>
      </w:pPr>
    </w:p>
    <w:p w14:paraId="1270CE9D">
      <w:pPr>
        <w:spacing w:after="60" w:line="360" w:lineRule="auto"/>
        <w:jc w:val="center"/>
        <w:rPr>
          <w:rFonts w:hint="eastAsia" w:ascii="宋体" w:hAnsi="宋体"/>
          <w:b/>
          <w:bCs/>
          <w:color w:val="auto"/>
          <w:sz w:val="30"/>
          <w:szCs w:val="30"/>
          <w:highlight w:val="none"/>
        </w:rPr>
      </w:pPr>
    </w:p>
    <w:p w14:paraId="5A3B199A">
      <w:pPr>
        <w:spacing w:after="60" w:line="360" w:lineRule="auto"/>
        <w:jc w:val="center"/>
        <w:rPr>
          <w:rFonts w:hint="eastAsia" w:ascii="宋体" w:hAnsi="宋体"/>
          <w:b/>
          <w:bCs/>
          <w:color w:val="auto"/>
          <w:sz w:val="30"/>
          <w:szCs w:val="30"/>
          <w:highlight w:val="none"/>
        </w:rPr>
      </w:pPr>
    </w:p>
    <w:p w14:paraId="3EF6F112">
      <w:pPr>
        <w:spacing w:after="60"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投标文件</w:t>
      </w:r>
    </w:p>
    <w:p w14:paraId="623F7DE4">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（商务技术</w:t>
      </w:r>
      <w:r>
        <w:rPr>
          <w:rFonts w:hint="eastAsia" w:ascii="宋体" w:hAnsi="宋体"/>
          <w:b/>
          <w:bCs/>
          <w:color w:val="auto"/>
          <w:sz w:val="30"/>
          <w:szCs w:val="30"/>
          <w:highlight w:val="none"/>
          <w:lang w:val="en-US" w:eastAsia="zh-CN"/>
        </w:rPr>
        <w:t>部分</w:t>
      </w:r>
      <w:r>
        <w:rPr>
          <w:rFonts w:hint="eastAsia" w:ascii="宋体" w:hAnsi="宋体"/>
          <w:b/>
          <w:bCs/>
          <w:color w:val="auto"/>
          <w:sz w:val="30"/>
          <w:szCs w:val="30"/>
          <w:highlight w:val="none"/>
        </w:rPr>
        <w:t>）</w:t>
      </w:r>
    </w:p>
    <w:p w14:paraId="523E9907">
      <w:pPr>
        <w:spacing w:after="60" w:line="360" w:lineRule="auto"/>
        <w:jc w:val="center"/>
        <w:rPr>
          <w:rFonts w:hint="eastAsia" w:ascii="宋体" w:hAnsi="宋体"/>
          <w:b/>
          <w:bCs/>
          <w:color w:val="auto"/>
          <w:sz w:val="30"/>
          <w:szCs w:val="30"/>
          <w:highlight w:val="none"/>
        </w:rPr>
      </w:pPr>
    </w:p>
    <w:p w14:paraId="53FFF97B">
      <w:pPr>
        <w:spacing w:after="60"/>
        <w:jc w:val="center"/>
        <w:rPr>
          <w:rFonts w:ascii="宋体" w:hAnsi="宋体"/>
          <w:b/>
          <w:bCs/>
          <w:color w:val="auto"/>
          <w:sz w:val="72"/>
          <w:szCs w:val="72"/>
          <w:highlight w:val="none"/>
        </w:rPr>
      </w:pPr>
    </w:p>
    <w:p w14:paraId="250BED61">
      <w:pPr>
        <w:spacing w:after="60"/>
        <w:jc w:val="center"/>
        <w:rPr>
          <w:rFonts w:ascii="宋体" w:hAnsi="宋体"/>
          <w:b/>
          <w:bCs/>
          <w:color w:val="auto"/>
          <w:sz w:val="72"/>
          <w:szCs w:val="72"/>
          <w:highlight w:val="none"/>
        </w:rPr>
      </w:pPr>
    </w:p>
    <w:p w14:paraId="11FC93F7">
      <w:pPr>
        <w:spacing w:after="60"/>
        <w:jc w:val="center"/>
        <w:rPr>
          <w:rFonts w:ascii="宋体" w:hAnsi="宋体"/>
          <w:b/>
          <w:bCs/>
          <w:color w:val="auto"/>
          <w:sz w:val="72"/>
          <w:szCs w:val="72"/>
          <w:highlight w:val="none"/>
        </w:rPr>
      </w:pPr>
    </w:p>
    <w:p w14:paraId="34758637">
      <w:pPr>
        <w:tabs>
          <w:tab w:val="left" w:pos="2020"/>
          <w:tab w:val="center" w:pos="4535"/>
        </w:tabs>
        <w:spacing w:line="400" w:lineRule="exact"/>
        <w:ind w:firstLine="280" w:firstLineChars="100"/>
        <w:rPr>
          <w:rFonts w:ascii="宋体" w:hAnsi="宋体"/>
          <w:color w:val="auto"/>
          <w:sz w:val="28"/>
          <w:szCs w:val="20"/>
          <w:highlight w:val="none"/>
        </w:rPr>
      </w:pPr>
    </w:p>
    <w:p w14:paraId="3CFD4EC5">
      <w:pPr>
        <w:tabs>
          <w:tab w:val="left" w:pos="2020"/>
          <w:tab w:val="center" w:pos="4535"/>
        </w:tabs>
        <w:spacing w:line="400" w:lineRule="exact"/>
        <w:ind w:firstLine="280" w:firstLineChars="100"/>
        <w:rPr>
          <w:rFonts w:ascii="宋体" w:hAnsi="宋体"/>
          <w:color w:val="auto"/>
          <w:sz w:val="28"/>
          <w:szCs w:val="20"/>
          <w:highlight w:val="none"/>
        </w:rPr>
      </w:pPr>
    </w:p>
    <w:p w14:paraId="12F13819">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82DA2D6">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28" w:name="_Hlk81344630"/>
      <w:r>
        <w:rPr>
          <w:rFonts w:hint="eastAsia" w:ascii="宋体" w:hAnsi="宋体"/>
          <w:b/>
          <w:color w:val="auto"/>
          <w:sz w:val="30"/>
          <w:szCs w:val="30"/>
          <w:highlight w:val="none"/>
        </w:rPr>
        <w:t>（或盖章）</w:t>
      </w:r>
      <w:bookmarkEnd w:id="28"/>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6EA7736A">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F68E5E1">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一、关于资格文件的声明函</w:t>
      </w:r>
    </w:p>
    <w:p w14:paraId="6B9B5B98">
      <w:pPr>
        <w:pStyle w:val="60"/>
        <w:ind w:firstLine="280"/>
        <w:rPr>
          <w:color w:val="auto"/>
          <w:highlight w:val="none"/>
        </w:rPr>
      </w:pPr>
    </w:p>
    <w:p w14:paraId="576283AA">
      <w:pPr>
        <w:overflowPunct w:val="0"/>
        <w:adjustRightInd w:val="0"/>
        <w:spacing w:line="360" w:lineRule="auto"/>
        <w:jc w:val="left"/>
        <w:textAlignment w:val="baseline"/>
        <w:rPr>
          <w:rFonts w:ascii="宋体" w:hAnsi="宋体"/>
          <w:color w:val="auto"/>
          <w:sz w:val="24"/>
          <w:highlight w:val="none"/>
          <w:u w:val="single"/>
        </w:rPr>
      </w:pPr>
      <w:r>
        <w:rPr>
          <w:rFonts w:hint="eastAsia" w:ascii="宋体" w:hAnsi="宋体"/>
          <w:color w:val="auto"/>
          <w:sz w:val="24"/>
          <w:highlight w:val="none"/>
          <w:u w:val="single"/>
          <w:lang w:eastAsia="zh-CN"/>
        </w:rPr>
        <w:t>南通市养老服务指导中心：</w:t>
      </w:r>
    </w:p>
    <w:p w14:paraId="2954C19B">
      <w:pPr>
        <w:overflowPunct w:val="0"/>
        <w:adjustRightInd w:val="0"/>
        <w:spacing w:line="360" w:lineRule="auto"/>
        <w:ind w:firstLine="660"/>
        <w:jc w:val="left"/>
        <w:textAlignment w:val="baseline"/>
        <w:rPr>
          <w:rFonts w:ascii="宋体" w:hAnsi="宋体"/>
          <w:color w:val="auto"/>
          <w:sz w:val="24"/>
          <w:highlight w:val="none"/>
        </w:rPr>
      </w:pPr>
      <w:r>
        <w:rPr>
          <w:rFonts w:ascii="宋体" w:hAnsi="宋体"/>
          <w:color w:val="auto"/>
          <w:sz w:val="24"/>
          <w:highlight w:val="none"/>
        </w:rPr>
        <w:t>本公司愿就由贵单位组织实施的</w:t>
      </w:r>
      <w:r>
        <w:rPr>
          <w:rFonts w:ascii="宋体" w:hAnsi="宋体"/>
          <w:color w:val="auto"/>
          <w:sz w:val="24"/>
          <w:highlight w:val="none"/>
          <w:u w:val="single"/>
        </w:rPr>
        <w:t xml:space="preserve">                        </w:t>
      </w:r>
      <w:r>
        <w:rPr>
          <w:rFonts w:ascii="宋体" w:hAnsi="宋体"/>
          <w:color w:val="auto"/>
          <w:sz w:val="24"/>
          <w:highlight w:val="none"/>
        </w:rPr>
        <w:t>（项目名称）的采购活动进行投标响应。本公司所提交的投标响应文件中所有关于资格响应的文件、证明和陈述均是真实的、准确的。若与真实情况不符，本公司愿意承担由此而产生的一切后果。</w:t>
      </w:r>
    </w:p>
    <w:p w14:paraId="399D40BD">
      <w:pPr>
        <w:overflowPunct w:val="0"/>
        <w:adjustRightInd w:val="0"/>
        <w:spacing w:line="360" w:lineRule="auto"/>
        <w:ind w:firstLine="420"/>
        <w:jc w:val="left"/>
        <w:textAlignment w:val="baseline"/>
        <w:rPr>
          <w:rFonts w:ascii="宋体" w:hAnsi="宋体"/>
          <w:color w:val="auto"/>
          <w:sz w:val="24"/>
          <w:highlight w:val="none"/>
        </w:rPr>
      </w:pPr>
    </w:p>
    <w:p w14:paraId="65A71F23">
      <w:pPr>
        <w:overflowPunct w:val="0"/>
        <w:adjustRightInd w:val="0"/>
        <w:spacing w:line="360" w:lineRule="auto"/>
        <w:ind w:firstLine="420"/>
        <w:jc w:val="left"/>
        <w:textAlignment w:val="baseline"/>
        <w:rPr>
          <w:rFonts w:ascii="宋体" w:hAnsi="宋体"/>
          <w:color w:val="auto"/>
          <w:sz w:val="24"/>
          <w:highlight w:val="none"/>
        </w:rPr>
      </w:pPr>
    </w:p>
    <w:p w14:paraId="34A11BD8">
      <w:pPr>
        <w:snapToGrid w:val="0"/>
        <w:spacing w:line="360" w:lineRule="auto"/>
        <w:jc w:val="right"/>
        <w:rPr>
          <w:rFonts w:ascii="宋体" w:hAnsi="宋体"/>
          <w:color w:val="auto"/>
          <w:sz w:val="24"/>
          <w:highlight w:val="none"/>
        </w:rPr>
      </w:pPr>
      <w:r>
        <w:rPr>
          <w:rFonts w:ascii="宋体" w:hAnsi="宋体"/>
          <w:color w:val="auto"/>
          <w:sz w:val="24"/>
          <w:highlight w:val="none"/>
        </w:rPr>
        <w:t>投标单位：</w:t>
      </w:r>
      <w:r>
        <w:rPr>
          <w:rFonts w:ascii="宋体" w:hAnsi="宋体"/>
          <w:color w:val="auto"/>
          <w:sz w:val="24"/>
          <w:highlight w:val="none"/>
          <w:u w:val="single"/>
        </w:rPr>
        <w:t xml:space="preserve">                    </w:t>
      </w:r>
      <w:r>
        <w:rPr>
          <w:rFonts w:ascii="宋体" w:hAnsi="宋体"/>
          <w:color w:val="auto"/>
          <w:sz w:val="24"/>
          <w:highlight w:val="none"/>
        </w:rPr>
        <w:t>（加盖公章）</w:t>
      </w:r>
    </w:p>
    <w:p w14:paraId="4666B70E">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BDA1F5A">
      <w:pPr>
        <w:snapToGrid w:val="0"/>
        <w:spacing w:line="360" w:lineRule="auto"/>
        <w:jc w:val="righ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年      月     日</w:t>
      </w:r>
    </w:p>
    <w:p w14:paraId="0CCC0E39">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二、法定代表人身份证明</w:t>
      </w:r>
    </w:p>
    <w:p w14:paraId="06B36AC9">
      <w:pPr>
        <w:pStyle w:val="60"/>
        <w:ind w:firstLine="280"/>
        <w:rPr>
          <w:color w:val="auto"/>
          <w:highlight w:val="none"/>
        </w:rPr>
      </w:pPr>
    </w:p>
    <w:p w14:paraId="7AE294BD">
      <w:pPr>
        <w:overflowPunct w:val="0"/>
        <w:adjustRightInd w:val="0"/>
        <w:spacing w:line="360" w:lineRule="auto"/>
        <w:jc w:val="left"/>
        <w:textAlignment w:val="baseline"/>
        <w:rPr>
          <w:rFonts w:ascii="宋体" w:hAnsi="宋体"/>
          <w:color w:val="auto"/>
          <w:sz w:val="24"/>
          <w:highlight w:val="none"/>
        </w:rPr>
      </w:pPr>
      <w:r>
        <w:rPr>
          <w:rFonts w:hint="eastAsia" w:ascii="宋体" w:hAnsi="宋体"/>
          <w:color w:val="auto"/>
          <w:sz w:val="24"/>
          <w:highlight w:val="none"/>
          <w:u w:val="single"/>
          <w:lang w:eastAsia="zh-CN"/>
        </w:rPr>
        <w:t>南通市养老服务指导中心：</w:t>
      </w:r>
      <w:r>
        <w:rPr>
          <w:rFonts w:ascii="宋体" w:hAnsi="宋体"/>
          <w:color w:val="auto"/>
          <w:sz w:val="24"/>
          <w:highlight w:val="none"/>
        </w:rPr>
        <w:t xml:space="preserve"> </w:t>
      </w:r>
    </w:p>
    <w:p w14:paraId="3EEEB8A1">
      <w:pPr>
        <w:spacing w:line="360" w:lineRule="auto"/>
        <w:ind w:firstLine="480" w:firstLineChars="200"/>
        <w:rPr>
          <w:rFonts w:ascii="宋体" w:hAnsi="宋体"/>
          <w:color w:val="auto"/>
          <w:sz w:val="24"/>
          <w:highlight w:val="none"/>
        </w:rPr>
      </w:pPr>
      <w:r>
        <w:rPr>
          <w:rFonts w:ascii="宋体" w:hAnsi="宋体"/>
          <w:color w:val="auto"/>
          <w:sz w:val="24"/>
          <w:highlight w:val="none"/>
        </w:rPr>
        <w:t>我公司法定代表人</w:t>
      </w:r>
      <w:r>
        <w:rPr>
          <w:rFonts w:ascii="宋体" w:hAnsi="宋体"/>
          <w:color w:val="auto"/>
          <w:sz w:val="24"/>
          <w:highlight w:val="none"/>
          <w:u w:val="single"/>
        </w:rPr>
        <w:t xml:space="preserve">     　　　   </w:t>
      </w:r>
      <w:r>
        <w:rPr>
          <w:rFonts w:ascii="宋体" w:hAnsi="宋体"/>
          <w:color w:val="auto"/>
          <w:sz w:val="24"/>
          <w:highlight w:val="none"/>
        </w:rPr>
        <w:t>参加贵单位组织的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（采购项目名称）项目公开招标采购活动，全权代表我公司处理投标的有关事宜。</w:t>
      </w:r>
    </w:p>
    <w:p w14:paraId="01B5C776">
      <w:pPr>
        <w:spacing w:line="360" w:lineRule="auto"/>
        <w:rPr>
          <w:rFonts w:ascii="宋体" w:hAnsi="宋体"/>
          <w:color w:val="auto"/>
          <w:sz w:val="24"/>
          <w:highlight w:val="none"/>
        </w:rPr>
      </w:pPr>
      <w:r>
        <w:rPr>
          <w:rFonts w:ascii="宋体" w:hAnsi="宋体"/>
          <w:color w:val="auto"/>
          <w:sz w:val="24"/>
          <w:highlight w:val="none"/>
        </w:rPr>
        <w:t>附：法定代表人情况：</w:t>
      </w:r>
    </w:p>
    <w:p w14:paraId="6303450F">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3308E370">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5C48D826">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52FEAFE9">
      <w:pPr>
        <w:spacing w:line="360" w:lineRule="auto"/>
        <w:rPr>
          <w:rFonts w:ascii="宋体" w:hAnsi="宋体"/>
          <w:color w:val="auto"/>
          <w:sz w:val="24"/>
          <w:highlight w:val="none"/>
        </w:rPr>
      </w:pPr>
    </w:p>
    <w:p w14:paraId="79F3ECB7">
      <w:pPr>
        <w:spacing w:line="360" w:lineRule="auto"/>
        <w:rPr>
          <w:rFonts w:ascii="宋体" w:hAnsi="宋体"/>
          <w:color w:val="auto"/>
          <w:sz w:val="24"/>
          <w:highlight w:val="none"/>
        </w:rPr>
      </w:pPr>
      <w:r>
        <w:rPr>
          <w:rFonts w:ascii="宋体" w:hAnsi="宋体"/>
          <w:color w:val="auto"/>
          <w:sz w:val="24"/>
          <w:highlight w:val="none"/>
        </w:rPr>
        <w:t xml:space="preserve">单位名称（公章）             法定代表人（签字或盖章） </w:t>
      </w:r>
    </w:p>
    <w:p w14:paraId="3692B363">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49D381C0">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26C0FA9A">
      <w:pPr>
        <w:spacing w:line="360" w:lineRule="auto"/>
        <w:rPr>
          <w:rFonts w:ascii="宋体" w:hAnsi="宋体"/>
          <w:color w:val="auto"/>
          <w:sz w:val="24"/>
          <w:highlight w:val="none"/>
        </w:rPr>
      </w:pPr>
      <w:r>
        <w:rPr>
          <w:rFonts w:ascii="宋体" w:hAnsi="宋体"/>
          <w:color w:val="auto"/>
          <w:sz w:val="24"/>
          <w:highlight w:val="none"/>
        </w:rPr>
        <w:t xml:space="preserve"> </w:t>
      </w:r>
    </w:p>
    <w:p w14:paraId="7DB62C69">
      <w:pPr>
        <w:spacing w:line="360" w:lineRule="auto"/>
        <w:rPr>
          <w:rFonts w:ascii="宋体" w:hAnsi="宋体"/>
          <w:color w:val="auto"/>
          <w:sz w:val="24"/>
          <w:highlight w:val="none"/>
        </w:rPr>
      </w:pPr>
    </w:p>
    <w:p w14:paraId="7C30584E">
      <w:pPr>
        <w:spacing w:line="360" w:lineRule="auto"/>
        <w:ind w:firstLine="3120" w:firstLineChars="1300"/>
        <w:rPr>
          <w:rFonts w:ascii="宋体" w:hAnsi="宋体"/>
          <w:color w:val="auto"/>
          <w:sz w:val="24"/>
          <w:highlight w:val="none"/>
        </w:rPr>
      </w:pPr>
      <w:r>
        <w:rPr>
          <w:rFonts w:ascii="宋体" w:hAnsi="宋体"/>
          <w:color w:val="auto"/>
          <w:sz w:val="24"/>
          <w:highlight w:val="none"/>
        </w:rPr>
        <w:t>（粘贴此处）</w:t>
      </w:r>
    </w:p>
    <w:p w14:paraId="78D5BBA6">
      <w:pPr>
        <w:spacing w:line="360" w:lineRule="auto"/>
        <w:ind w:firstLine="2280" w:firstLineChars="950"/>
        <w:rPr>
          <w:rFonts w:ascii="宋体" w:hAnsi="宋体"/>
          <w:b/>
          <w:bCs/>
          <w:color w:val="auto"/>
          <w:sz w:val="24"/>
          <w:highlight w:val="none"/>
        </w:rPr>
      </w:pPr>
    </w:p>
    <w:p w14:paraId="592CD6CD">
      <w:pPr>
        <w:spacing w:line="360" w:lineRule="auto"/>
        <w:ind w:firstLine="2280" w:firstLineChars="950"/>
        <w:rPr>
          <w:rFonts w:ascii="宋体" w:hAnsi="宋体"/>
          <w:b/>
          <w:bCs/>
          <w:color w:val="auto"/>
          <w:sz w:val="24"/>
          <w:highlight w:val="none"/>
        </w:rPr>
      </w:pPr>
    </w:p>
    <w:p w14:paraId="4EB3702A">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法定代表人参加投标时将身份证带至招标现场备查。</w:t>
      </w:r>
    </w:p>
    <w:p w14:paraId="61F59ADC">
      <w:pPr>
        <w:spacing w:line="360" w:lineRule="auto"/>
        <w:rPr>
          <w:rFonts w:ascii="宋体" w:hAnsi="宋体"/>
          <w:b/>
          <w:bCs/>
          <w:color w:val="auto"/>
          <w:sz w:val="24"/>
          <w:highlight w:val="none"/>
        </w:rPr>
      </w:pPr>
    </w:p>
    <w:p w14:paraId="605B0703">
      <w:pPr>
        <w:spacing w:line="360" w:lineRule="auto"/>
        <w:jc w:val="center"/>
        <w:rPr>
          <w:rFonts w:ascii="宋体" w:hAnsi="宋体"/>
          <w:b/>
          <w:bCs/>
          <w:color w:val="auto"/>
          <w:sz w:val="28"/>
          <w:szCs w:val="28"/>
          <w:highlight w:val="none"/>
        </w:rPr>
      </w:pPr>
      <w:r>
        <w:rPr>
          <w:rFonts w:ascii="宋体" w:hAnsi="宋体"/>
          <w:b/>
          <w:bCs/>
          <w:color w:val="auto"/>
          <w:sz w:val="24"/>
          <w:highlight w:val="none"/>
        </w:rPr>
        <w:br w:type="page"/>
      </w:r>
      <w:r>
        <w:rPr>
          <w:rFonts w:ascii="宋体" w:hAnsi="宋体"/>
          <w:b/>
          <w:bCs/>
          <w:color w:val="auto"/>
          <w:sz w:val="28"/>
          <w:szCs w:val="28"/>
          <w:highlight w:val="none"/>
        </w:rPr>
        <w:t>三、授权委托书</w:t>
      </w:r>
    </w:p>
    <w:p w14:paraId="209F4132">
      <w:pPr>
        <w:spacing w:line="360" w:lineRule="auto"/>
        <w:ind w:firstLine="480" w:firstLineChars="200"/>
        <w:jc w:val="left"/>
        <w:rPr>
          <w:rFonts w:ascii="宋体" w:hAnsi="宋体"/>
          <w:b/>
          <w:bCs/>
          <w:color w:val="auto"/>
          <w:sz w:val="24"/>
          <w:highlight w:val="none"/>
        </w:rPr>
      </w:pPr>
    </w:p>
    <w:p w14:paraId="2057EC3C">
      <w:pPr>
        <w:overflowPunct w:val="0"/>
        <w:adjustRightInd w:val="0"/>
        <w:spacing w:line="360" w:lineRule="auto"/>
        <w:jc w:val="left"/>
        <w:textAlignment w:val="baseline"/>
        <w:rPr>
          <w:rFonts w:ascii="宋体" w:hAnsi="宋体"/>
          <w:color w:val="auto"/>
          <w:sz w:val="24"/>
          <w:highlight w:val="none"/>
        </w:rPr>
      </w:pPr>
      <w:r>
        <w:rPr>
          <w:rFonts w:hint="eastAsia" w:ascii="宋体" w:hAnsi="宋体"/>
          <w:color w:val="auto"/>
          <w:sz w:val="24"/>
          <w:highlight w:val="none"/>
          <w:u w:val="single"/>
          <w:lang w:eastAsia="zh-CN"/>
        </w:rPr>
        <w:t>南通市养老服务指导中心：</w:t>
      </w:r>
      <w:r>
        <w:rPr>
          <w:rFonts w:ascii="宋体" w:hAnsi="宋体"/>
          <w:color w:val="auto"/>
          <w:sz w:val="24"/>
          <w:highlight w:val="none"/>
        </w:rPr>
        <w:t xml:space="preserve"> </w:t>
      </w:r>
    </w:p>
    <w:p w14:paraId="2272EB10">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兹授权</w:t>
      </w:r>
      <w:r>
        <w:rPr>
          <w:rFonts w:ascii="宋体" w:hAnsi="宋体"/>
          <w:color w:val="auto"/>
          <w:sz w:val="24"/>
          <w:highlight w:val="none"/>
          <w:u w:val="single"/>
        </w:rPr>
        <w:t xml:space="preserve">         </w:t>
      </w:r>
      <w:r>
        <w:rPr>
          <w:rFonts w:ascii="宋体" w:hAnsi="宋体"/>
          <w:color w:val="auto"/>
          <w:sz w:val="24"/>
          <w:highlight w:val="none"/>
        </w:rPr>
        <w:t>（被授权人的姓名）代表我公司参加</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项目的采购活动，全权处理一切与该项目公开招标有关的事务。其在办理上述事宜过程中所签署的所有文件我公司均予以承认。</w:t>
      </w:r>
    </w:p>
    <w:p w14:paraId="6E18B971">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 xml:space="preserve">被授权人无转委托权。特此委托。  </w:t>
      </w:r>
    </w:p>
    <w:p w14:paraId="54AB22E8">
      <w:pPr>
        <w:snapToGrid w:val="0"/>
        <w:spacing w:line="360" w:lineRule="auto"/>
        <w:ind w:firstLine="480" w:firstLineChars="200"/>
        <w:rPr>
          <w:rFonts w:ascii="宋体" w:hAnsi="宋体"/>
          <w:color w:val="auto"/>
          <w:sz w:val="24"/>
          <w:highlight w:val="none"/>
        </w:rPr>
      </w:pPr>
    </w:p>
    <w:p w14:paraId="48903960">
      <w:pPr>
        <w:spacing w:line="360" w:lineRule="auto"/>
        <w:rPr>
          <w:rFonts w:ascii="宋体" w:hAnsi="宋体"/>
          <w:color w:val="auto"/>
          <w:sz w:val="24"/>
          <w:highlight w:val="none"/>
        </w:rPr>
      </w:pPr>
      <w:r>
        <w:rPr>
          <w:rFonts w:ascii="宋体" w:hAnsi="宋体"/>
          <w:color w:val="auto"/>
          <w:sz w:val="24"/>
          <w:highlight w:val="none"/>
        </w:rPr>
        <w:t xml:space="preserve">附：被授权人情况：  </w:t>
      </w:r>
    </w:p>
    <w:p w14:paraId="6242B3E4">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6B317175">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574438E5">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00B5C390">
      <w:pPr>
        <w:spacing w:line="360" w:lineRule="auto"/>
        <w:rPr>
          <w:rFonts w:ascii="宋体" w:hAnsi="宋体"/>
          <w:color w:val="auto"/>
          <w:sz w:val="24"/>
          <w:highlight w:val="none"/>
        </w:rPr>
      </w:pPr>
    </w:p>
    <w:p w14:paraId="47B15EBD">
      <w:pPr>
        <w:spacing w:line="360" w:lineRule="auto"/>
        <w:rPr>
          <w:rFonts w:ascii="宋体" w:hAnsi="宋体"/>
          <w:color w:val="auto"/>
          <w:sz w:val="24"/>
          <w:highlight w:val="none"/>
        </w:rPr>
      </w:pPr>
      <w:r>
        <w:rPr>
          <w:rFonts w:ascii="宋体" w:hAnsi="宋体"/>
          <w:color w:val="auto"/>
          <w:sz w:val="24"/>
          <w:highlight w:val="none"/>
        </w:rPr>
        <w:t>单位名称（公章）             法定代表人（签字或盖章）</w:t>
      </w:r>
    </w:p>
    <w:p w14:paraId="2B5E924F">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4EDA84FE">
      <w:pPr>
        <w:spacing w:line="360" w:lineRule="auto"/>
        <w:rPr>
          <w:rFonts w:ascii="宋体" w:hAnsi="宋体"/>
          <w:color w:val="auto"/>
          <w:sz w:val="24"/>
          <w:highlight w:val="none"/>
        </w:rPr>
      </w:pPr>
    </w:p>
    <w:p w14:paraId="0D96D502">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0368DAF0">
      <w:pPr>
        <w:spacing w:line="360" w:lineRule="auto"/>
        <w:rPr>
          <w:rFonts w:ascii="宋体" w:hAnsi="宋体"/>
          <w:color w:val="auto"/>
          <w:sz w:val="24"/>
          <w:highlight w:val="none"/>
        </w:rPr>
      </w:pPr>
    </w:p>
    <w:p w14:paraId="52766B74">
      <w:pPr>
        <w:pStyle w:val="60"/>
        <w:ind w:firstLine="280"/>
        <w:rPr>
          <w:rFonts w:ascii="宋体" w:eastAsia="宋体"/>
          <w:color w:val="auto"/>
          <w:highlight w:val="none"/>
        </w:rPr>
      </w:pPr>
    </w:p>
    <w:p w14:paraId="54835296">
      <w:pPr>
        <w:spacing w:line="360" w:lineRule="auto"/>
        <w:rPr>
          <w:rFonts w:ascii="宋体" w:hAnsi="宋体"/>
          <w:color w:val="auto"/>
          <w:sz w:val="24"/>
          <w:highlight w:val="none"/>
        </w:rPr>
      </w:pPr>
      <w:r>
        <w:rPr>
          <w:rFonts w:ascii="宋体" w:hAnsi="宋体"/>
          <w:color w:val="auto"/>
          <w:sz w:val="24"/>
          <w:highlight w:val="none"/>
        </w:rPr>
        <w:t>被授权人身份证复印件</w:t>
      </w:r>
    </w:p>
    <w:p w14:paraId="5F8277D5">
      <w:pPr>
        <w:spacing w:line="360" w:lineRule="auto"/>
        <w:ind w:firstLine="3120" w:firstLineChars="1300"/>
        <w:rPr>
          <w:rFonts w:ascii="宋体" w:hAnsi="宋体"/>
          <w:b/>
          <w:bCs/>
          <w:color w:val="auto"/>
          <w:sz w:val="24"/>
          <w:highlight w:val="none"/>
        </w:rPr>
      </w:pPr>
      <w:r>
        <w:rPr>
          <w:rFonts w:ascii="宋体" w:hAnsi="宋体"/>
          <w:color w:val="auto"/>
          <w:sz w:val="24"/>
          <w:highlight w:val="none"/>
        </w:rPr>
        <w:t>（粘贴此处）</w:t>
      </w:r>
    </w:p>
    <w:p w14:paraId="65E714D1">
      <w:pPr>
        <w:spacing w:line="360" w:lineRule="auto"/>
        <w:ind w:firstLine="480" w:firstLineChars="200"/>
        <w:rPr>
          <w:rFonts w:ascii="宋体" w:hAnsi="宋体"/>
          <w:b/>
          <w:bCs/>
          <w:color w:val="auto"/>
          <w:sz w:val="24"/>
          <w:highlight w:val="none"/>
        </w:rPr>
      </w:pPr>
    </w:p>
    <w:p w14:paraId="17BF24B2">
      <w:pPr>
        <w:spacing w:line="360" w:lineRule="auto"/>
        <w:ind w:firstLine="480" w:firstLineChars="200"/>
        <w:rPr>
          <w:rFonts w:ascii="宋体" w:hAnsi="宋体"/>
          <w:b/>
          <w:bCs/>
          <w:color w:val="auto"/>
          <w:sz w:val="24"/>
          <w:highlight w:val="none"/>
        </w:rPr>
      </w:pPr>
    </w:p>
    <w:p w14:paraId="7BAB5D13">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被授权人参加投标时将本人身份证带至招标现场备查。</w:t>
      </w:r>
    </w:p>
    <w:p w14:paraId="6605F816">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四、</w:t>
      </w:r>
      <w:bookmarkStart w:id="29" w:name="_Hlk44927189"/>
      <w:r>
        <w:rPr>
          <w:rFonts w:ascii="宋体" w:hAnsi="宋体"/>
          <w:b/>
          <w:bCs/>
          <w:color w:val="auto"/>
          <w:sz w:val="28"/>
          <w:szCs w:val="28"/>
          <w:highlight w:val="none"/>
        </w:rPr>
        <w:t>投标响应函</w:t>
      </w:r>
      <w:bookmarkEnd w:id="29"/>
    </w:p>
    <w:p w14:paraId="5829F036">
      <w:pPr>
        <w:overflowPunct w:val="0"/>
        <w:adjustRightInd w:val="0"/>
        <w:spacing w:line="360" w:lineRule="auto"/>
        <w:jc w:val="left"/>
        <w:textAlignment w:val="baseline"/>
        <w:rPr>
          <w:rFonts w:ascii="宋体" w:hAnsi="宋体"/>
          <w:color w:val="auto"/>
          <w:sz w:val="24"/>
          <w:highlight w:val="none"/>
        </w:rPr>
      </w:pPr>
      <w:r>
        <w:rPr>
          <w:rFonts w:hint="eastAsia" w:ascii="宋体" w:hAnsi="宋体"/>
          <w:color w:val="auto"/>
          <w:sz w:val="24"/>
          <w:highlight w:val="none"/>
          <w:u w:val="single"/>
          <w:lang w:eastAsia="zh-CN"/>
        </w:rPr>
        <w:t>南通市养老服务指导中心：</w:t>
      </w:r>
      <w:r>
        <w:rPr>
          <w:rFonts w:ascii="宋体" w:hAnsi="宋体"/>
          <w:color w:val="auto"/>
          <w:sz w:val="24"/>
          <w:highlight w:val="none"/>
        </w:rPr>
        <w:t xml:space="preserve"> </w:t>
      </w:r>
    </w:p>
    <w:p w14:paraId="6FAF1E97">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ascii="宋体" w:hAnsi="宋体"/>
          <w:color w:val="auto"/>
          <w:sz w:val="24"/>
          <w:highlight w:val="none"/>
          <w:u w:val="single"/>
        </w:rPr>
        <w:t xml:space="preserve">                 </w:t>
      </w:r>
      <w:r>
        <w:rPr>
          <w:rFonts w:ascii="宋体" w:hAnsi="宋体"/>
          <w:color w:val="auto"/>
          <w:sz w:val="24"/>
          <w:highlight w:val="none"/>
        </w:rPr>
        <w:t xml:space="preserve"> （采购项目名称）项目公开招标采购的邀请，我方授权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77ED9677">
      <w:pPr>
        <w:spacing w:line="360" w:lineRule="auto"/>
        <w:ind w:firstLine="480" w:firstLineChars="200"/>
        <w:rPr>
          <w:rFonts w:ascii="宋体" w:hAnsi="宋体"/>
          <w:color w:val="auto"/>
          <w:sz w:val="24"/>
          <w:highlight w:val="none"/>
        </w:rPr>
      </w:pPr>
      <w:r>
        <w:rPr>
          <w:rFonts w:ascii="宋体" w:hAnsi="宋体"/>
          <w:color w:val="auto"/>
          <w:sz w:val="24"/>
          <w:highlight w:val="none"/>
        </w:rPr>
        <w:t>1、同意并接受招标文件的各项要求，遵守招标文件中的各项规定，按招标文件的要求提供报价。</w:t>
      </w:r>
    </w:p>
    <w:p w14:paraId="6E1247D0">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14:paraId="65E4E371">
      <w:pPr>
        <w:spacing w:line="360" w:lineRule="auto"/>
        <w:ind w:firstLine="480" w:firstLineChars="200"/>
        <w:rPr>
          <w:rFonts w:ascii="宋体" w:hAnsi="宋体"/>
          <w:color w:val="auto"/>
          <w:sz w:val="24"/>
          <w:highlight w:val="none"/>
        </w:rPr>
      </w:pPr>
      <w:r>
        <w:rPr>
          <w:rFonts w:ascii="宋体" w:hAnsi="宋体"/>
          <w:color w:val="auto"/>
          <w:sz w:val="24"/>
          <w:highlight w:val="none"/>
        </w:rPr>
        <w:t>3、我公司已毫无保留地向贵方提供一切所需的证明材料。</w:t>
      </w:r>
    </w:p>
    <w:p w14:paraId="4E4566F4">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4、我公司承诺在本次招标响应中提供的一切文件，无论是原件还是复印件均真实有效，绝无任何虚假、伪造和夸大的成份。否则，愿承担相应的后果和法律责任。</w:t>
      </w:r>
    </w:p>
    <w:p w14:paraId="767C0AB1">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5、我公司尊重评标委员会所作的评定结果，同时清楚理解到报价最低并非意味着必定获得成交资格。</w:t>
      </w:r>
    </w:p>
    <w:p w14:paraId="1071B438">
      <w:pPr>
        <w:snapToGrid w:val="0"/>
        <w:spacing w:line="360" w:lineRule="auto"/>
        <w:ind w:firstLine="460" w:firstLineChars="200"/>
        <w:rPr>
          <w:rFonts w:ascii="宋体" w:hAnsi="宋体"/>
          <w:color w:val="auto"/>
          <w:sz w:val="24"/>
          <w:highlight w:val="none"/>
        </w:rPr>
      </w:pPr>
      <w:r>
        <w:rPr>
          <w:rFonts w:ascii="宋体" w:hAnsi="宋体"/>
          <w:color w:val="auto"/>
          <w:sz w:val="23"/>
          <w:szCs w:val="23"/>
          <w:highlight w:val="none"/>
        </w:rPr>
        <w:t>6</w:t>
      </w:r>
      <w:r>
        <w:rPr>
          <w:rFonts w:ascii="宋体" w:hAnsi="宋体"/>
          <w:color w:val="auto"/>
          <w:sz w:val="24"/>
          <w:highlight w:val="none"/>
        </w:rPr>
        <w:t>、一旦我方成交，我方承诺将根据项目服务要求与贵方签订项目服务协议书。</w:t>
      </w:r>
    </w:p>
    <w:p w14:paraId="37106555">
      <w:pPr>
        <w:spacing w:line="360" w:lineRule="auto"/>
        <w:ind w:firstLine="480" w:firstLineChars="200"/>
        <w:rPr>
          <w:rFonts w:ascii="宋体" w:hAnsi="宋体"/>
          <w:color w:val="auto"/>
          <w:sz w:val="24"/>
          <w:highlight w:val="none"/>
        </w:rPr>
      </w:pPr>
      <w:r>
        <w:rPr>
          <w:rFonts w:ascii="宋体" w:hAnsi="宋体"/>
          <w:color w:val="auto"/>
          <w:sz w:val="24"/>
          <w:highlight w:val="none"/>
        </w:rPr>
        <w:t>7、一旦我方成交，我方承诺在服务过程中，负责安排好各专业相关人员完成服务工作。</w:t>
      </w:r>
    </w:p>
    <w:p w14:paraId="170AFD75">
      <w:pPr>
        <w:spacing w:line="360" w:lineRule="auto"/>
        <w:ind w:firstLine="480" w:firstLineChars="200"/>
        <w:rPr>
          <w:rFonts w:ascii="宋体" w:hAnsi="宋体"/>
          <w:color w:val="auto"/>
          <w:sz w:val="24"/>
          <w:highlight w:val="none"/>
        </w:rPr>
      </w:pPr>
      <w:r>
        <w:rPr>
          <w:rFonts w:ascii="宋体" w:hAnsi="宋体"/>
          <w:color w:val="auto"/>
          <w:sz w:val="24"/>
          <w:highlight w:val="none"/>
        </w:rPr>
        <w:t>8、一旦我方成交，我方将根据招标文件的要求和投标文件的承诺签订合同，严格履行合同的责任和义务，并保证在招标文件规定的时间完成项目，交付采购人验收、使用。</w:t>
      </w:r>
    </w:p>
    <w:p w14:paraId="1BCEB64C">
      <w:pPr>
        <w:spacing w:line="360" w:lineRule="auto"/>
        <w:ind w:firstLine="200" w:firstLineChars="200"/>
        <w:rPr>
          <w:rFonts w:ascii="宋体" w:hAnsi="宋体"/>
          <w:color w:val="auto"/>
          <w:sz w:val="10"/>
          <w:szCs w:val="10"/>
          <w:highlight w:val="none"/>
        </w:rPr>
      </w:pPr>
    </w:p>
    <w:p w14:paraId="7C26F23E">
      <w:pPr>
        <w:spacing w:line="360" w:lineRule="auto"/>
        <w:ind w:firstLine="1920" w:firstLineChars="800"/>
        <w:rPr>
          <w:rFonts w:ascii="宋体" w:hAnsi="宋体"/>
          <w:color w:val="auto"/>
          <w:sz w:val="24"/>
          <w:highlight w:val="none"/>
        </w:rPr>
      </w:pPr>
      <w:r>
        <w:rPr>
          <w:rFonts w:ascii="宋体" w:hAnsi="宋体"/>
          <w:color w:val="auto"/>
          <w:sz w:val="24"/>
          <w:highlight w:val="none"/>
        </w:rPr>
        <w:t>响应供应商：</w:t>
      </w:r>
      <w:r>
        <w:rPr>
          <w:rFonts w:ascii="宋体" w:hAnsi="宋体"/>
          <w:color w:val="auto"/>
          <w:sz w:val="24"/>
          <w:highlight w:val="none"/>
          <w:u w:val="single"/>
        </w:rPr>
        <w:t xml:space="preserve">                    </w:t>
      </w:r>
      <w:r>
        <w:rPr>
          <w:rFonts w:ascii="宋体" w:hAnsi="宋体"/>
          <w:color w:val="auto"/>
          <w:sz w:val="24"/>
          <w:highlight w:val="none"/>
        </w:rPr>
        <w:t>（加盖公章）</w:t>
      </w:r>
    </w:p>
    <w:p w14:paraId="551FA2DF">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38160808">
      <w:pPr>
        <w:spacing w:line="360" w:lineRule="auto"/>
        <w:ind w:firstLine="4320" w:firstLineChars="1800"/>
        <w:rPr>
          <w:rFonts w:ascii="宋体" w:hAnsi="宋体"/>
          <w:color w:val="auto"/>
          <w:sz w:val="24"/>
          <w:highlight w:val="none"/>
        </w:rPr>
      </w:pPr>
      <w:r>
        <w:rPr>
          <w:rFonts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日</w:t>
      </w:r>
    </w:p>
    <w:p w14:paraId="73A4F250">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五、无重大违法记录声明</w:t>
      </w:r>
    </w:p>
    <w:p w14:paraId="366F59A8">
      <w:pPr>
        <w:spacing w:line="360" w:lineRule="auto"/>
        <w:jc w:val="left"/>
        <w:rPr>
          <w:rFonts w:ascii="宋体" w:hAnsi="宋体"/>
          <w:color w:val="auto"/>
          <w:sz w:val="24"/>
          <w:highlight w:val="none"/>
          <w:u w:val="single"/>
        </w:rPr>
      </w:pPr>
    </w:p>
    <w:p w14:paraId="560D122A">
      <w:pPr>
        <w:overflowPunct w:val="0"/>
        <w:adjustRightInd w:val="0"/>
        <w:spacing w:line="360" w:lineRule="auto"/>
        <w:jc w:val="left"/>
        <w:textAlignment w:val="baseline"/>
        <w:rPr>
          <w:rFonts w:ascii="宋体" w:hAnsi="宋体"/>
          <w:color w:val="auto"/>
          <w:sz w:val="24"/>
          <w:highlight w:val="none"/>
          <w:u w:val="single"/>
        </w:rPr>
      </w:pPr>
      <w:r>
        <w:rPr>
          <w:rFonts w:hint="eastAsia" w:ascii="宋体" w:hAnsi="宋体"/>
          <w:color w:val="auto"/>
          <w:sz w:val="24"/>
          <w:highlight w:val="none"/>
          <w:u w:val="single"/>
          <w:lang w:eastAsia="zh-CN"/>
        </w:rPr>
        <w:t>南通市养老服务指导中心：</w:t>
      </w:r>
    </w:p>
    <w:p w14:paraId="63143F16">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我单位</w:t>
      </w:r>
      <w:r>
        <w:rPr>
          <w:rFonts w:ascii="宋体" w:hAnsi="宋体"/>
          <w:color w:val="auto"/>
          <w:sz w:val="24"/>
          <w:highlight w:val="none"/>
          <w:u w:val="single"/>
        </w:rPr>
        <w:t xml:space="preserve">                  </w:t>
      </w:r>
      <w:r>
        <w:rPr>
          <w:rFonts w:ascii="宋体" w:hAnsi="宋体"/>
          <w:color w:val="auto"/>
          <w:sz w:val="24"/>
          <w:highlight w:val="none"/>
        </w:rPr>
        <w:t>（供应商名称）郑重声明：</w:t>
      </w:r>
    </w:p>
    <w:p w14:paraId="776E0B4E">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1、参加采购活动前3年内在经营活动中</w:t>
      </w:r>
      <w:r>
        <w:rPr>
          <w:rFonts w:ascii="宋体" w:hAnsi="宋体"/>
          <w:color w:val="auto"/>
          <w:sz w:val="24"/>
          <w:highlight w:val="none"/>
          <w:u w:val="single"/>
        </w:rPr>
        <w:t xml:space="preserve">        </w:t>
      </w:r>
      <w:r>
        <w:rPr>
          <w:rFonts w:ascii="宋体" w:hAnsi="宋体"/>
          <w:color w:val="auto"/>
          <w:sz w:val="24"/>
          <w:highlight w:val="none"/>
        </w:rPr>
        <w:t>（在下划线上如实填写：有或没有）重大违法记录。</w:t>
      </w:r>
    </w:p>
    <w:p w14:paraId="7DDFC747">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31CD046B">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截至投标截止时间前，我公司未被“信用中国”（www.creditchina.gov.cn）列入失信被执行人、重大税收违法案件当事人名单；没有被“中国政府采购网”（www.ccgp.gov.cn）网站列入政府采购严重违法失信行为记录名单。</w:t>
      </w:r>
    </w:p>
    <w:p w14:paraId="1233E02F">
      <w:pPr>
        <w:pStyle w:val="60"/>
        <w:ind w:firstLine="280"/>
        <w:rPr>
          <w:rFonts w:ascii="宋体" w:eastAsia="宋体"/>
          <w:color w:val="auto"/>
          <w:highlight w:val="none"/>
        </w:rPr>
      </w:pPr>
    </w:p>
    <w:p w14:paraId="28FD5A47">
      <w:pPr>
        <w:pStyle w:val="60"/>
        <w:ind w:firstLine="280"/>
        <w:rPr>
          <w:rFonts w:ascii="宋体" w:eastAsia="宋体"/>
          <w:color w:val="auto"/>
          <w:highlight w:val="none"/>
        </w:rPr>
      </w:pPr>
    </w:p>
    <w:p w14:paraId="3CE298E0">
      <w:pPr>
        <w:spacing w:line="360" w:lineRule="auto"/>
        <w:ind w:firstLine="2280" w:firstLineChars="950"/>
        <w:jc w:val="right"/>
        <w:rPr>
          <w:rFonts w:ascii="宋体" w:hAnsi="宋体"/>
          <w:color w:val="auto"/>
          <w:sz w:val="24"/>
          <w:highlight w:val="none"/>
        </w:rPr>
      </w:pPr>
      <w:r>
        <w:rPr>
          <w:rFonts w:ascii="宋体" w:hAnsi="宋体"/>
          <w:b/>
          <w:color w:val="auto"/>
          <w:sz w:val="24"/>
          <w:highlight w:val="none"/>
        </w:rPr>
        <w:t xml:space="preserve">                                       </w:t>
      </w:r>
      <w:r>
        <w:rPr>
          <w:rFonts w:ascii="宋体" w:hAnsi="宋体"/>
          <w:color w:val="auto"/>
          <w:sz w:val="24"/>
          <w:highlight w:val="none"/>
        </w:rPr>
        <w:t>声明人：（公章）</w:t>
      </w:r>
    </w:p>
    <w:p w14:paraId="57AA0559">
      <w:pPr>
        <w:spacing w:line="360" w:lineRule="auto"/>
        <w:ind w:firstLine="2280" w:firstLineChars="950"/>
        <w:jc w:val="right"/>
        <w:rPr>
          <w:rFonts w:ascii="宋体" w:hAnsi="宋体"/>
          <w:color w:val="auto"/>
          <w:sz w:val="24"/>
          <w:highlight w:val="none"/>
        </w:rPr>
      </w:pPr>
      <w:r>
        <w:rPr>
          <w:rFonts w:ascii="宋体" w:hAnsi="宋体"/>
          <w:color w:val="auto"/>
          <w:sz w:val="24"/>
          <w:highlight w:val="none"/>
        </w:rPr>
        <w:t xml:space="preserve">                                   年     月    日</w:t>
      </w:r>
    </w:p>
    <w:p w14:paraId="5EC22620">
      <w:pPr>
        <w:spacing w:line="360" w:lineRule="auto"/>
        <w:jc w:val="center"/>
        <w:rPr>
          <w:rFonts w:ascii="宋体"/>
          <w:color w:val="auto"/>
          <w:highlight w:val="none"/>
        </w:rPr>
      </w:pPr>
      <w:r>
        <w:rPr>
          <w:rFonts w:ascii="宋体"/>
          <w:color w:val="auto"/>
          <w:highlight w:val="none"/>
        </w:rPr>
        <w:br w:type="page"/>
      </w:r>
      <w:r>
        <w:rPr>
          <w:rFonts w:hint="eastAsia" w:ascii="宋体" w:hAnsi="宋体"/>
          <w:b/>
          <w:bCs/>
          <w:color w:val="auto"/>
          <w:sz w:val="28"/>
          <w:szCs w:val="28"/>
          <w:highlight w:val="none"/>
        </w:rPr>
        <w:t>六、应附的其他材料</w:t>
      </w:r>
    </w:p>
    <w:p w14:paraId="221AB7EE">
      <w:pPr>
        <w:tabs>
          <w:tab w:val="left" w:pos="2020"/>
          <w:tab w:val="center" w:pos="4535"/>
        </w:tabs>
        <w:spacing w:line="400" w:lineRule="exact"/>
        <w:ind w:firstLine="210" w:firstLineChars="100"/>
        <w:rPr>
          <w:rFonts w:ascii="宋体" w:hAnsi="宋体"/>
          <w:color w:val="auto"/>
          <w:sz w:val="28"/>
          <w:szCs w:val="20"/>
          <w:highlight w:val="none"/>
        </w:rPr>
      </w:pPr>
      <w:r>
        <w:rPr>
          <w:rFonts w:ascii="宋体" w:hAnsi="宋体"/>
          <w:color w:val="auto"/>
          <w:highlight w:val="none"/>
        </w:rPr>
        <w:br w:type="page"/>
      </w:r>
      <w:r>
        <w:rPr>
          <w:rFonts w:hint="eastAsia" w:ascii="宋体" w:hAnsi="宋体"/>
          <w:color w:val="auto"/>
          <w:sz w:val="28"/>
          <w:szCs w:val="28"/>
          <w:highlight w:val="none"/>
        </w:rPr>
        <w:t>第二部分格式：</w:t>
      </w:r>
    </w:p>
    <w:p w14:paraId="11487FE1">
      <w:pPr>
        <w:tabs>
          <w:tab w:val="left" w:pos="2020"/>
          <w:tab w:val="center" w:pos="4535"/>
        </w:tabs>
        <w:spacing w:line="400" w:lineRule="exact"/>
        <w:ind w:firstLine="280" w:firstLineChars="100"/>
        <w:rPr>
          <w:rFonts w:ascii="宋体" w:hAnsi="宋体"/>
          <w:color w:val="auto"/>
          <w:sz w:val="28"/>
          <w:szCs w:val="20"/>
          <w:highlight w:val="none"/>
        </w:rPr>
      </w:pPr>
    </w:p>
    <w:p w14:paraId="22D771C9">
      <w:pPr>
        <w:tabs>
          <w:tab w:val="left" w:pos="159"/>
        </w:tabs>
        <w:rPr>
          <w:rFonts w:ascii="宋体" w:hAnsi="宋体"/>
          <w:color w:val="auto"/>
          <w:sz w:val="28"/>
          <w:szCs w:val="28"/>
          <w:highlight w:val="none"/>
        </w:rPr>
      </w:pPr>
    </w:p>
    <w:p w14:paraId="16438409">
      <w:pPr>
        <w:spacing w:after="60" w:line="360" w:lineRule="auto"/>
        <w:ind w:left="1894" w:leftChars="171" w:hanging="1535" w:hangingChars="533"/>
        <w:jc w:val="center"/>
        <w:rPr>
          <w:rFonts w:ascii="宋体" w:hAnsi="宋体"/>
          <w:color w:val="auto"/>
          <w:szCs w:val="21"/>
          <w:highlight w:val="none"/>
        </w:rPr>
      </w:pP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2096CBA2">
      <w:pPr>
        <w:spacing w:after="60" w:line="360" w:lineRule="auto"/>
        <w:jc w:val="center"/>
        <w:rPr>
          <w:rFonts w:ascii="宋体" w:hAnsi="宋体"/>
          <w:b/>
          <w:bCs/>
          <w:color w:val="auto"/>
          <w:sz w:val="44"/>
          <w:szCs w:val="44"/>
          <w:highlight w:val="none"/>
        </w:rPr>
      </w:pPr>
    </w:p>
    <w:p w14:paraId="6665A7C6">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6D1FA93">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（商务技术</w:t>
      </w:r>
      <w:r>
        <w:rPr>
          <w:rFonts w:hint="eastAsia" w:ascii="宋体" w:hAnsi="宋体"/>
          <w:b/>
          <w:bCs/>
          <w:color w:val="auto"/>
          <w:sz w:val="30"/>
          <w:szCs w:val="30"/>
          <w:highlight w:val="none"/>
          <w:lang w:val="en-US" w:eastAsia="zh-CN"/>
        </w:rPr>
        <w:t>部分</w:t>
      </w:r>
      <w:r>
        <w:rPr>
          <w:rFonts w:hint="eastAsia" w:ascii="宋体" w:hAnsi="宋体"/>
          <w:b/>
          <w:bCs/>
          <w:color w:val="auto"/>
          <w:sz w:val="30"/>
          <w:szCs w:val="30"/>
          <w:highlight w:val="none"/>
        </w:rPr>
        <w:t>）</w:t>
      </w:r>
    </w:p>
    <w:p w14:paraId="1DC92F45">
      <w:pPr>
        <w:spacing w:after="60"/>
        <w:jc w:val="center"/>
        <w:rPr>
          <w:rFonts w:ascii="宋体" w:hAnsi="宋体"/>
          <w:b/>
          <w:bCs/>
          <w:color w:val="auto"/>
          <w:sz w:val="72"/>
          <w:szCs w:val="72"/>
          <w:highlight w:val="none"/>
        </w:rPr>
      </w:pPr>
    </w:p>
    <w:p w14:paraId="761D70AE">
      <w:pPr>
        <w:spacing w:after="60"/>
        <w:jc w:val="center"/>
        <w:rPr>
          <w:rFonts w:ascii="宋体" w:hAnsi="宋体"/>
          <w:b/>
          <w:bCs/>
          <w:color w:val="auto"/>
          <w:sz w:val="72"/>
          <w:szCs w:val="72"/>
          <w:highlight w:val="none"/>
        </w:rPr>
      </w:pPr>
    </w:p>
    <w:p w14:paraId="727F70E7">
      <w:pPr>
        <w:spacing w:after="60"/>
        <w:jc w:val="center"/>
        <w:rPr>
          <w:rFonts w:ascii="宋体" w:hAnsi="宋体"/>
          <w:b/>
          <w:bCs/>
          <w:color w:val="auto"/>
          <w:sz w:val="72"/>
          <w:szCs w:val="72"/>
          <w:highlight w:val="none"/>
        </w:rPr>
      </w:pPr>
    </w:p>
    <w:p w14:paraId="2CEB3D10">
      <w:pPr>
        <w:tabs>
          <w:tab w:val="left" w:pos="2020"/>
          <w:tab w:val="center" w:pos="4535"/>
        </w:tabs>
        <w:spacing w:line="400" w:lineRule="exact"/>
        <w:ind w:firstLine="280" w:firstLineChars="100"/>
        <w:rPr>
          <w:rFonts w:ascii="宋体" w:hAnsi="宋体"/>
          <w:color w:val="auto"/>
          <w:sz w:val="28"/>
          <w:szCs w:val="20"/>
          <w:highlight w:val="none"/>
        </w:rPr>
      </w:pPr>
    </w:p>
    <w:p w14:paraId="188DC680">
      <w:pPr>
        <w:tabs>
          <w:tab w:val="left" w:pos="2020"/>
          <w:tab w:val="center" w:pos="4535"/>
        </w:tabs>
        <w:spacing w:line="400" w:lineRule="exact"/>
        <w:ind w:firstLine="280" w:firstLineChars="100"/>
        <w:rPr>
          <w:rFonts w:ascii="宋体" w:hAnsi="宋体"/>
          <w:color w:val="auto"/>
          <w:sz w:val="28"/>
          <w:szCs w:val="20"/>
          <w:highlight w:val="none"/>
        </w:rPr>
      </w:pPr>
    </w:p>
    <w:p w14:paraId="1E0838A5">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6293B5A6">
      <w:pPr>
        <w:ind w:left="1508" w:leftChars="171" w:hanging="1149" w:hangingChars="383"/>
        <w:rPr>
          <w:rFonts w:ascii="宋体" w:hAnsi="宋体"/>
          <w:b/>
          <w:color w:val="auto"/>
          <w:sz w:val="30"/>
          <w:szCs w:val="30"/>
          <w:highlight w:val="none"/>
        </w:rPr>
      </w:pPr>
    </w:p>
    <w:p w14:paraId="67E9CA10">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法定代表人（或委托授权代表）签字（或盖章）：</w:t>
      </w:r>
      <w:r>
        <w:rPr>
          <w:rFonts w:hint="eastAsia" w:ascii="宋体" w:hAnsi="宋体"/>
          <w:b/>
          <w:color w:val="auto"/>
          <w:sz w:val="30"/>
          <w:szCs w:val="30"/>
          <w:highlight w:val="none"/>
          <w:u w:val="single"/>
        </w:rPr>
        <w:t xml:space="preserve">                    </w:t>
      </w:r>
    </w:p>
    <w:p w14:paraId="300724D7">
      <w:pPr>
        <w:spacing w:line="360" w:lineRule="auto"/>
        <w:ind w:firstLine="594" w:firstLineChars="198"/>
        <w:rPr>
          <w:rFonts w:ascii="宋体" w:hAnsi="宋体"/>
          <w:b/>
          <w:color w:val="auto"/>
          <w:sz w:val="30"/>
          <w:szCs w:val="30"/>
          <w:highlight w:val="none"/>
        </w:rPr>
      </w:pPr>
    </w:p>
    <w:p w14:paraId="7F4891B4">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37AD56DE">
      <w:pPr>
        <w:pStyle w:val="60"/>
        <w:ind w:firstLine="280"/>
        <w:rPr>
          <w:rFonts w:ascii="宋体" w:eastAsia="宋体" w:cs="宋体"/>
          <w:color w:val="auto"/>
          <w:sz w:val="24"/>
          <w:highlight w:val="none"/>
        </w:rPr>
      </w:pPr>
      <w:r>
        <w:rPr>
          <w:rFonts w:ascii="宋体" w:eastAsia="宋体"/>
          <w:color w:val="auto"/>
          <w:highlight w:val="none"/>
        </w:rPr>
        <w:br w:type="page"/>
      </w:r>
      <w:r>
        <w:rPr>
          <w:rFonts w:hint="eastAsia" w:ascii="宋体" w:eastAsia="宋体" w:cs="宋体"/>
          <w:color w:val="auto"/>
          <w:sz w:val="24"/>
          <w:highlight w:val="none"/>
        </w:rPr>
        <w:t>商务技术评分需要提供的材料（按评分顺序提供并自行拟定目录）</w:t>
      </w:r>
    </w:p>
    <w:p w14:paraId="23D164B1">
      <w:pPr>
        <w:tabs>
          <w:tab w:val="left" w:pos="1965"/>
        </w:tabs>
        <w:rPr>
          <w:rFonts w:ascii="宋体" w:hAnsi="宋体"/>
          <w:color w:val="auto"/>
          <w:sz w:val="28"/>
          <w:szCs w:val="28"/>
          <w:highlight w:val="none"/>
        </w:rPr>
      </w:pPr>
    </w:p>
    <w:p w14:paraId="6D14705F">
      <w:pPr>
        <w:tabs>
          <w:tab w:val="left" w:pos="2020"/>
          <w:tab w:val="center" w:pos="4535"/>
        </w:tabs>
        <w:spacing w:line="400" w:lineRule="exact"/>
        <w:ind w:firstLine="280" w:firstLineChars="100"/>
        <w:rPr>
          <w:rFonts w:ascii="宋体" w:hAnsi="宋体"/>
          <w:color w:val="auto"/>
          <w:sz w:val="28"/>
          <w:szCs w:val="20"/>
          <w:highlight w:val="none"/>
        </w:rPr>
      </w:pPr>
    </w:p>
    <w:p w14:paraId="6D69166B">
      <w:pPr>
        <w:tabs>
          <w:tab w:val="left" w:pos="2020"/>
          <w:tab w:val="center" w:pos="4535"/>
        </w:tabs>
        <w:spacing w:line="400" w:lineRule="exact"/>
        <w:ind w:firstLine="280" w:firstLineChars="100"/>
        <w:rPr>
          <w:rFonts w:ascii="宋体" w:hAnsi="宋体"/>
          <w:color w:val="auto"/>
          <w:sz w:val="28"/>
          <w:szCs w:val="20"/>
          <w:highlight w:val="none"/>
        </w:rPr>
      </w:pPr>
    </w:p>
    <w:p w14:paraId="16248AE7">
      <w:pPr>
        <w:tabs>
          <w:tab w:val="left" w:pos="159"/>
        </w:tabs>
        <w:rPr>
          <w:rFonts w:ascii="宋体" w:hAnsi="宋体"/>
          <w:color w:val="auto"/>
          <w:sz w:val="28"/>
          <w:szCs w:val="28"/>
          <w:highlight w:val="none"/>
        </w:rPr>
      </w:pPr>
    </w:p>
    <w:p w14:paraId="6E690CBC">
      <w:pPr>
        <w:pStyle w:val="60"/>
        <w:ind w:firstLine="280"/>
        <w:rPr>
          <w:color w:val="auto"/>
          <w:highlight w:val="none"/>
        </w:rPr>
      </w:pPr>
    </w:p>
    <w:p w14:paraId="17AAAD1F">
      <w:pPr>
        <w:pStyle w:val="60"/>
        <w:ind w:firstLine="280"/>
        <w:rPr>
          <w:color w:val="auto"/>
          <w:highlight w:val="none"/>
        </w:rPr>
      </w:pPr>
    </w:p>
    <w:p w14:paraId="70FD0166">
      <w:pPr>
        <w:pStyle w:val="60"/>
        <w:ind w:firstLine="280"/>
        <w:rPr>
          <w:color w:val="auto"/>
          <w:highlight w:val="none"/>
        </w:rPr>
      </w:pPr>
    </w:p>
    <w:p w14:paraId="62566365">
      <w:pPr>
        <w:pStyle w:val="60"/>
        <w:ind w:firstLine="280"/>
        <w:rPr>
          <w:color w:val="auto"/>
          <w:highlight w:val="none"/>
        </w:rPr>
      </w:pPr>
    </w:p>
    <w:p w14:paraId="55331EEF">
      <w:pPr>
        <w:pStyle w:val="60"/>
        <w:ind w:firstLine="280"/>
        <w:rPr>
          <w:color w:val="auto"/>
          <w:highlight w:val="none"/>
        </w:rPr>
      </w:pPr>
    </w:p>
    <w:p w14:paraId="3BDF121D">
      <w:pPr>
        <w:pStyle w:val="60"/>
        <w:ind w:firstLine="280"/>
        <w:rPr>
          <w:color w:val="auto"/>
          <w:highlight w:val="none"/>
        </w:rPr>
      </w:pPr>
    </w:p>
    <w:p w14:paraId="6C617215">
      <w:pPr>
        <w:pStyle w:val="60"/>
        <w:ind w:firstLine="280"/>
        <w:rPr>
          <w:color w:val="auto"/>
          <w:highlight w:val="none"/>
        </w:rPr>
      </w:pPr>
    </w:p>
    <w:p w14:paraId="62C93375">
      <w:pPr>
        <w:pStyle w:val="60"/>
        <w:ind w:firstLine="280"/>
        <w:rPr>
          <w:color w:val="auto"/>
          <w:highlight w:val="none"/>
        </w:rPr>
      </w:pPr>
    </w:p>
    <w:p w14:paraId="0997A035">
      <w:pPr>
        <w:pStyle w:val="60"/>
        <w:ind w:firstLine="280"/>
        <w:rPr>
          <w:color w:val="auto"/>
          <w:highlight w:val="none"/>
        </w:rPr>
      </w:pPr>
    </w:p>
    <w:p w14:paraId="3AA319C5">
      <w:pPr>
        <w:pStyle w:val="60"/>
        <w:ind w:firstLine="280"/>
        <w:rPr>
          <w:color w:val="auto"/>
          <w:highlight w:val="none"/>
        </w:rPr>
      </w:pPr>
    </w:p>
    <w:p w14:paraId="6597361E">
      <w:pPr>
        <w:pStyle w:val="60"/>
        <w:ind w:firstLine="280"/>
        <w:rPr>
          <w:color w:val="auto"/>
          <w:highlight w:val="none"/>
        </w:rPr>
      </w:pPr>
    </w:p>
    <w:p w14:paraId="48E88080">
      <w:pPr>
        <w:pStyle w:val="60"/>
        <w:ind w:firstLine="280"/>
        <w:rPr>
          <w:color w:val="auto"/>
          <w:highlight w:val="none"/>
        </w:rPr>
      </w:pPr>
    </w:p>
    <w:p w14:paraId="5A7C6544">
      <w:pPr>
        <w:pStyle w:val="60"/>
        <w:ind w:firstLine="280"/>
        <w:rPr>
          <w:color w:val="auto"/>
          <w:highlight w:val="none"/>
        </w:rPr>
      </w:pPr>
    </w:p>
    <w:p w14:paraId="64BB2FE7">
      <w:pPr>
        <w:pStyle w:val="60"/>
        <w:ind w:firstLine="280"/>
        <w:rPr>
          <w:color w:val="auto"/>
          <w:highlight w:val="none"/>
        </w:rPr>
      </w:pPr>
    </w:p>
    <w:p w14:paraId="0711C36E">
      <w:pPr>
        <w:pStyle w:val="60"/>
        <w:ind w:firstLine="280"/>
        <w:rPr>
          <w:color w:val="auto"/>
          <w:highlight w:val="none"/>
        </w:rPr>
      </w:pPr>
    </w:p>
    <w:p w14:paraId="38CCBDCF">
      <w:pPr>
        <w:pStyle w:val="60"/>
        <w:ind w:firstLine="280"/>
        <w:rPr>
          <w:color w:val="auto"/>
          <w:highlight w:val="none"/>
        </w:rPr>
      </w:pPr>
    </w:p>
    <w:p w14:paraId="76463D2A">
      <w:pPr>
        <w:pStyle w:val="60"/>
        <w:ind w:firstLine="280"/>
        <w:rPr>
          <w:color w:val="auto"/>
          <w:highlight w:val="none"/>
        </w:rPr>
      </w:pPr>
    </w:p>
    <w:p w14:paraId="6768DB7D">
      <w:pPr>
        <w:pStyle w:val="60"/>
        <w:ind w:firstLine="280"/>
        <w:rPr>
          <w:color w:val="auto"/>
          <w:highlight w:val="none"/>
        </w:rPr>
      </w:pPr>
    </w:p>
    <w:p w14:paraId="7E6850E4">
      <w:pPr>
        <w:pStyle w:val="60"/>
        <w:ind w:firstLine="280"/>
        <w:rPr>
          <w:color w:val="auto"/>
          <w:highlight w:val="none"/>
        </w:rPr>
      </w:pPr>
    </w:p>
    <w:p w14:paraId="29543ADD">
      <w:pPr>
        <w:pStyle w:val="60"/>
        <w:ind w:firstLine="280"/>
        <w:rPr>
          <w:color w:val="auto"/>
          <w:highlight w:val="none"/>
        </w:rPr>
      </w:pPr>
    </w:p>
    <w:p w14:paraId="7A069F56">
      <w:pPr>
        <w:pStyle w:val="60"/>
        <w:ind w:firstLine="280"/>
        <w:rPr>
          <w:color w:val="auto"/>
          <w:highlight w:val="none"/>
        </w:rPr>
      </w:pPr>
    </w:p>
    <w:p w14:paraId="026FF160">
      <w:pPr>
        <w:pStyle w:val="60"/>
        <w:ind w:firstLine="280"/>
        <w:rPr>
          <w:color w:val="auto"/>
          <w:highlight w:val="none"/>
        </w:rPr>
      </w:pPr>
    </w:p>
    <w:p w14:paraId="0A348C63">
      <w:pPr>
        <w:pStyle w:val="60"/>
        <w:ind w:firstLine="280"/>
        <w:rPr>
          <w:color w:val="auto"/>
          <w:highlight w:val="none"/>
        </w:rPr>
      </w:pPr>
    </w:p>
    <w:p w14:paraId="7C6A6767">
      <w:pPr>
        <w:tabs>
          <w:tab w:val="left" w:pos="1965"/>
        </w:tabs>
        <w:rPr>
          <w:rFonts w:ascii="宋体" w:hAnsi="宋体"/>
          <w:color w:val="auto"/>
          <w:sz w:val="28"/>
          <w:szCs w:val="28"/>
          <w:highlight w:val="none"/>
        </w:rPr>
      </w:pPr>
      <w:r>
        <w:rPr>
          <w:rFonts w:ascii="宋体" w:hAnsi="宋体"/>
          <w:b/>
          <w:color w:val="auto"/>
          <w:sz w:val="36"/>
          <w:szCs w:val="36"/>
          <w:highlight w:val="none"/>
        </w:rPr>
        <w:t xml:space="preserve"> </w:t>
      </w:r>
      <w:bookmarkStart w:id="30" w:name="_Toc420058377"/>
      <w:bookmarkStart w:id="31" w:name="_Toc425960677"/>
      <w:r>
        <w:rPr>
          <w:rFonts w:hint="eastAsia" w:ascii="宋体" w:hAnsi="宋体"/>
          <w:color w:val="auto"/>
          <w:sz w:val="28"/>
          <w:szCs w:val="28"/>
          <w:highlight w:val="none"/>
        </w:rPr>
        <w:t>第三部分格式：</w:t>
      </w:r>
    </w:p>
    <w:p w14:paraId="370E608F">
      <w:pPr>
        <w:tabs>
          <w:tab w:val="left" w:pos="2020"/>
          <w:tab w:val="center" w:pos="4535"/>
        </w:tabs>
        <w:spacing w:line="400" w:lineRule="exact"/>
        <w:ind w:firstLine="280" w:firstLineChars="100"/>
        <w:rPr>
          <w:rFonts w:ascii="宋体" w:hAnsi="宋体"/>
          <w:color w:val="auto"/>
          <w:sz w:val="28"/>
          <w:szCs w:val="20"/>
          <w:highlight w:val="none"/>
        </w:rPr>
      </w:pPr>
    </w:p>
    <w:p w14:paraId="490E4FE3">
      <w:pPr>
        <w:tabs>
          <w:tab w:val="left" w:pos="2020"/>
          <w:tab w:val="center" w:pos="4535"/>
        </w:tabs>
        <w:spacing w:line="400" w:lineRule="exact"/>
        <w:ind w:firstLine="280" w:firstLineChars="100"/>
        <w:rPr>
          <w:rFonts w:ascii="宋体" w:hAnsi="宋体"/>
          <w:color w:val="auto"/>
          <w:sz w:val="28"/>
          <w:szCs w:val="20"/>
          <w:highlight w:val="none"/>
        </w:rPr>
      </w:pPr>
    </w:p>
    <w:p w14:paraId="5B968BD8">
      <w:pPr>
        <w:tabs>
          <w:tab w:val="left" w:pos="159"/>
        </w:tabs>
        <w:rPr>
          <w:rFonts w:ascii="宋体" w:hAnsi="宋体"/>
          <w:color w:val="auto"/>
          <w:sz w:val="28"/>
          <w:szCs w:val="28"/>
          <w:highlight w:val="none"/>
        </w:rPr>
      </w:pPr>
    </w:p>
    <w:p w14:paraId="4A9356D9">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2E308FE9">
      <w:pPr>
        <w:spacing w:after="60" w:line="360" w:lineRule="auto"/>
        <w:jc w:val="center"/>
        <w:rPr>
          <w:rFonts w:ascii="宋体" w:hAnsi="宋体"/>
          <w:b/>
          <w:bCs/>
          <w:color w:val="auto"/>
          <w:sz w:val="44"/>
          <w:szCs w:val="44"/>
          <w:highlight w:val="none"/>
        </w:rPr>
      </w:pPr>
    </w:p>
    <w:p w14:paraId="20B8BC70">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30669576">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（价格</w:t>
      </w:r>
      <w:r>
        <w:rPr>
          <w:rFonts w:hint="eastAsia" w:ascii="宋体" w:hAnsi="宋体"/>
          <w:b/>
          <w:bCs/>
          <w:color w:val="auto"/>
          <w:sz w:val="30"/>
          <w:szCs w:val="30"/>
          <w:highlight w:val="none"/>
          <w:lang w:val="en-US" w:eastAsia="zh-CN"/>
        </w:rPr>
        <w:t>部分</w:t>
      </w:r>
      <w:r>
        <w:rPr>
          <w:rFonts w:hint="eastAsia" w:ascii="宋体" w:hAnsi="宋体"/>
          <w:b/>
          <w:bCs/>
          <w:color w:val="auto"/>
          <w:sz w:val="30"/>
          <w:szCs w:val="30"/>
          <w:highlight w:val="none"/>
        </w:rPr>
        <w:t>）</w:t>
      </w:r>
    </w:p>
    <w:p w14:paraId="019CC318">
      <w:pPr>
        <w:spacing w:after="60"/>
        <w:jc w:val="center"/>
        <w:rPr>
          <w:rFonts w:ascii="宋体" w:hAnsi="宋体"/>
          <w:b/>
          <w:bCs/>
          <w:color w:val="auto"/>
          <w:sz w:val="72"/>
          <w:szCs w:val="72"/>
          <w:highlight w:val="none"/>
        </w:rPr>
      </w:pPr>
    </w:p>
    <w:p w14:paraId="2B324F1D">
      <w:pPr>
        <w:spacing w:after="60"/>
        <w:jc w:val="center"/>
        <w:rPr>
          <w:rFonts w:ascii="宋体" w:hAnsi="宋体"/>
          <w:b/>
          <w:bCs/>
          <w:color w:val="auto"/>
          <w:sz w:val="72"/>
          <w:szCs w:val="72"/>
          <w:highlight w:val="none"/>
        </w:rPr>
      </w:pPr>
    </w:p>
    <w:p w14:paraId="3A3C22E1">
      <w:pPr>
        <w:spacing w:after="60"/>
        <w:jc w:val="center"/>
        <w:rPr>
          <w:rFonts w:ascii="宋体" w:hAnsi="宋体"/>
          <w:b/>
          <w:bCs/>
          <w:color w:val="auto"/>
          <w:sz w:val="72"/>
          <w:szCs w:val="72"/>
          <w:highlight w:val="none"/>
        </w:rPr>
      </w:pPr>
    </w:p>
    <w:p w14:paraId="1B0A382E">
      <w:pPr>
        <w:tabs>
          <w:tab w:val="left" w:pos="2020"/>
          <w:tab w:val="center" w:pos="4535"/>
        </w:tabs>
        <w:spacing w:line="400" w:lineRule="exact"/>
        <w:ind w:firstLine="280" w:firstLineChars="100"/>
        <w:rPr>
          <w:rFonts w:ascii="宋体" w:hAnsi="宋体"/>
          <w:color w:val="auto"/>
          <w:sz w:val="28"/>
          <w:szCs w:val="20"/>
          <w:highlight w:val="none"/>
        </w:rPr>
      </w:pPr>
    </w:p>
    <w:p w14:paraId="5105F921">
      <w:pPr>
        <w:tabs>
          <w:tab w:val="left" w:pos="2020"/>
          <w:tab w:val="center" w:pos="4535"/>
        </w:tabs>
        <w:spacing w:line="400" w:lineRule="exact"/>
        <w:ind w:firstLine="280" w:firstLineChars="100"/>
        <w:rPr>
          <w:rFonts w:ascii="宋体" w:hAnsi="宋体"/>
          <w:color w:val="auto"/>
          <w:sz w:val="28"/>
          <w:szCs w:val="20"/>
          <w:highlight w:val="none"/>
        </w:rPr>
      </w:pPr>
    </w:p>
    <w:p w14:paraId="1A10DA50">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0C36BFC4">
      <w:pPr>
        <w:ind w:left="1508" w:leftChars="171" w:hanging="1149" w:hangingChars="383"/>
        <w:rPr>
          <w:rFonts w:ascii="宋体" w:hAnsi="宋体"/>
          <w:b/>
          <w:color w:val="auto"/>
          <w:sz w:val="30"/>
          <w:szCs w:val="30"/>
          <w:highlight w:val="none"/>
        </w:rPr>
      </w:pPr>
    </w:p>
    <w:p w14:paraId="03BC188D">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32" w:name="_Hlk81344726"/>
      <w:r>
        <w:rPr>
          <w:rFonts w:hint="eastAsia" w:ascii="宋体" w:hAnsi="宋体"/>
          <w:b/>
          <w:color w:val="auto"/>
          <w:sz w:val="30"/>
          <w:szCs w:val="30"/>
          <w:highlight w:val="none"/>
        </w:rPr>
        <w:t>（或盖章）</w:t>
      </w:r>
      <w:bookmarkEnd w:id="32"/>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18289461">
      <w:pPr>
        <w:spacing w:line="360" w:lineRule="auto"/>
        <w:ind w:firstLine="594" w:firstLineChars="198"/>
        <w:rPr>
          <w:rFonts w:ascii="宋体" w:hAnsi="宋体"/>
          <w:b/>
          <w:color w:val="auto"/>
          <w:sz w:val="30"/>
          <w:szCs w:val="30"/>
          <w:highlight w:val="none"/>
        </w:rPr>
      </w:pPr>
    </w:p>
    <w:p w14:paraId="140D46FC">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48756ED">
      <w:pPr>
        <w:widowControl/>
        <w:adjustRightInd w:val="0"/>
        <w:snapToGrid w:val="0"/>
        <w:spacing w:before="100" w:beforeAutospacing="1" w:after="100" w:afterAutospacing="1" w:line="360" w:lineRule="auto"/>
        <w:ind w:firstLine="480"/>
        <w:jc w:val="center"/>
        <w:textAlignment w:val="center"/>
        <w:rPr>
          <w:rFonts w:ascii="宋体" w:hAnsi="宋体"/>
          <w:b/>
          <w:bCs/>
          <w:color w:val="auto"/>
          <w:sz w:val="24"/>
          <w:highlight w:val="none"/>
        </w:rPr>
      </w:pPr>
    </w:p>
    <w:p w14:paraId="0F406169">
      <w:pPr>
        <w:spacing w:after="60" w:line="360" w:lineRule="auto"/>
        <w:ind w:left="1851" w:leftChars="171" w:hanging="1492" w:hangingChars="533"/>
        <w:rPr>
          <w:rStyle w:val="77"/>
          <w:rFonts w:ascii="宋体" w:hAnsi="宋体" w:cs="Times New Roman"/>
          <w:color w:val="auto"/>
          <w:sz w:val="28"/>
          <w:szCs w:val="28"/>
          <w:highlight w:val="none"/>
        </w:rPr>
      </w:pPr>
    </w:p>
    <w:p w14:paraId="7FDDD4D1">
      <w:pPr>
        <w:spacing w:after="60" w:line="360" w:lineRule="auto"/>
        <w:rPr>
          <w:rStyle w:val="77"/>
          <w:rFonts w:ascii="宋体" w:hAnsi="宋体" w:cs="Times New Roman"/>
          <w:color w:val="auto"/>
          <w:sz w:val="28"/>
          <w:szCs w:val="28"/>
          <w:highlight w:val="none"/>
        </w:rPr>
      </w:pPr>
    </w:p>
    <w:bookmarkEnd w:id="30"/>
    <w:bookmarkEnd w:id="31"/>
    <w:p w14:paraId="22DA0EE5">
      <w:pPr>
        <w:spacing w:line="360" w:lineRule="auto"/>
        <w:jc w:val="center"/>
        <w:rPr>
          <w:rStyle w:val="77"/>
          <w:rFonts w:ascii="宋体" w:hAnsi="宋体" w:cs="Times New Roman"/>
          <w:color w:val="auto"/>
          <w:sz w:val="28"/>
          <w:szCs w:val="28"/>
          <w:highlight w:val="none"/>
        </w:rPr>
      </w:pPr>
      <w:r>
        <w:rPr>
          <w:rStyle w:val="77"/>
          <w:rFonts w:ascii="宋体" w:hAnsi="宋体" w:cs="Times New Roman"/>
          <w:color w:val="auto"/>
          <w:sz w:val="28"/>
          <w:szCs w:val="28"/>
          <w:highlight w:val="none"/>
        </w:rPr>
        <w:t>开标一览表</w:t>
      </w:r>
    </w:p>
    <w:p w14:paraId="0D650CDB">
      <w:pPr>
        <w:pStyle w:val="31"/>
        <w:spacing w:line="360" w:lineRule="auto"/>
        <w:rPr>
          <w:rFonts w:hAnsi="宋体"/>
          <w:color w:val="auto"/>
          <w:highlight w:val="none"/>
          <w:u w:val="single"/>
        </w:rPr>
      </w:pPr>
    </w:p>
    <w:p w14:paraId="7E99A1AE">
      <w:pPr>
        <w:spacing w:line="360" w:lineRule="auto"/>
        <w:ind w:firstLine="480" w:firstLineChars="200"/>
        <w:rPr>
          <w:rFonts w:ascii="宋体" w:hAnsi="宋体"/>
          <w:color w:val="auto"/>
          <w:sz w:val="24"/>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27A9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55072EC7">
            <w:pPr>
              <w:adjustRightInd w:val="0"/>
              <w:snapToGrid w:val="0"/>
              <w:spacing w:line="300" w:lineRule="auto"/>
              <w:jc w:val="center"/>
              <w:rPr>
                <w:rFonts w:ascii="宋体" w:hAnsi="宋体"/>
                <w:color w:val="auto"/>
                <w:sz w:val="24"/>
                <w:highlight w:val="none"/>
              </w:rPr>
            </w:pPr>
            <w:r>
              <w:rPr>
                <w:rFonts w:ascii="宋体" w:hAnsi="宋体"/>
                <w:color w:val="auto"/>
                <w:sz w:val="24"/>
                <w:highlight w:val="none"/>
              </w:rPr>
              <w:t>服务名称</w:t>
            </w:r>
          </w:p>
        </w:tc>
        <w:tc>
          <w:tcPr>
            <w:tcW w:w="3604" w:type="pct"/>
            <w:vAlign w:val="center"/>
          </w:tcPr>
          <w:p w14:paraId="53EE8304">
            <w:pPr>
              <w:rPr>
                <w:rFonts w:ascii="宋体" w:hAnsi="宋体"/>
                <w:color w:val="auto"/>
                <w:sz w:val="24"/>
                <w:highlight w:val="none"/>
              </w:rPr>
            </w:pPr>
            <w:r>
              <w:rPr>
                <w:rFonts w:ascii="宋体" w:hAnsi="宋体"/>
                <w:color w:val="auto"/>
                <w:sz w:val="24"/>
                <w:highlight w:val="none"/>
              </w:rPr>
              <w:t xml:space="preserve">                      投标总报价</w:t>
            </w:r>
          </w:p>
        </w:tc>
      </w:tr>
      <w:tr w14:paraId="5AB9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0686BCC2">
            <w:pPr>
              <w:adjustRightInd w:val="0"/>
              <w:snapToGrid w:val="0"/>
              <w:spacing w:line="300" w:lineRule="auto"/>
              <w:jc w:val="left"/>
              <w:rPr>
                <w:rFonts w:hint="eastAsia" w:ascii="宋体" w:hAnsi="宋体" w:eastAsia="宋体"/>
                <w:color w:val="auto"/>
                <w:sz w:val="24"/>
                <w:highlight w:val="none"/>
                <w:lang w:eastAsia="zh-CN"/>
              </w:rPr>
            </w:pPr>
            <w:r>
              <w:rPr>
                <w:rFonts w:hint="eastAsia" w:ascii="宋体" w:hAnsi="宋体"/>
                <w:color w:val="auto"/>
                <w:sz w:val="24"/>
                <w:highlight w:val="none"/>
                <w:u w:val="none"/>
                <w:lang w:eastAsia="zh-CN"/>
              </w:rPr>
              <w:t>南通市养老服务指导中心网络安全服务采购项目</w:t>
            </w:r>
          </w:p>
        </w:tc>
        <w:tc>
          <w:tcPr>
            <w:tcW w:w="3604" w:type="pct"/>
            <w:vAlign w:val="center"/>
          </w:tcPr>
          <w:p w14:paraId="7E702F07">
            <w:pPr>
              <w:adjustRightInd w:val="0"/>
              <w:snapToGrid w:val="0"/>
              <w:spacing w:line="300" w:lineRule="auto"/>
              <w:rPr>
                <w:rFonts w:ascii="宋体" w:hAnsi="宋体"/>
                <w:color w:val="auto"/>
                <w:sz w:val="24"/>
                <w:highlight w:val="none"/>
              </w:rPr>
            </w:pPr>
            <w:r>
              <w:rPr>
                <w:rFonts w:ascii="宋体" w:hAnsi="宋体"/>
                <w:bCs/>
                <w:color w:val="auto"/>
                <w:sz w:val="24"/>
                <w:highlight w:val="none"/>
              </w:rPr>
              <w:t>合计</w:t>
            </w:r>
            <w:r>
              <w:rPr>
                <w:rFonts w:ascii="宋体" w:hAnsi="宋体"/>
                <w:color w:val="auto"/>
                <w:sz w:val="24"/>
                <w:highlight w:val="none"/>
              </w:rPr>
              <w:t>：大写：</w:t>
            </w:r>
            <w:r>
              <w:rPr>
                <w:rFonts w:ascii="宋体" w:hAnsi="宋体"/>
                <w:color w:val="auto"/>
                <w:sz w:val="24"/>
                <w:highlight w:val="none"/>
                <w:u w:val="single"/>
              </w:rPr>
              <w:t xml:space="preserve">                            </w:t>
            </w:r>
            <w:r>
              <w:rPr>
                <w:rFonts w:ascii="宋体" w:hAnsi="宋体"/>
                <w:color w:val="auto"/>
                <w:sz w:val="24"/>
                <w:highlight w:val="none"/>
              </w:rPr>
              <w:t>，</w:t>
            </w:r>
          </w:p>
          <w:p w14:paraId="1FDE08EB">
            <w:pPr>
              <w:adjustRightInd w:val="0"/>
              <w:snapToGrid w:val="0"/>
              <w:spacing w:line="300" w:lineRule="auto"/>
              <w:ind w:firstLine="720" w:firstLineChars="300"/>
              <w:rPr>
                <w:rFonts w:ascii="宋体" w:hAnsi="宋体"/>
                <w:color w:val="auto"/>
                <w:highlight w:val="none"/>
                <w:u w:val="single"/>
              </w:rPr>
            </w:pPr>
            <w:r>
              <w:rPr>
                <w:rFonts w:ascii="宋体" w:hAnsi="宋体"/>
                <w:color w:val="auto"/>
                <w:kern w:val="0"/>
                <w:sz w:val="24"/>
                <w:highlight w:val="none"/>
              </w:rPr>
              <w:t>小写：</w:t>
            </w:r>
            <w:r>
              <w:rPr>
                <w:rFonts w:ascii="宋体" w:hAnsi="宋体"/>
                <w:color w:val="auto"/>
                <w:kern w:val="0"/>
                <w:sz w:val="24"/>
                <w:highlight w:val="none"/>
                <w:u w:val="single"/>
              </w:rPr>
              <w:t xml:space="preserve">              </w:t>
            </w:r>
            <w:r>
              <w:rPr>
                <w:rFonts w:ascii="宋体" w:hAnsi="宋体"/>
                <w:color w:val="auto"/>
                <w:kern w:val="0"/>
                <w:sz w:val="24"/>
                <w:highlight w:val="none"/>
              </w:rPr>
              <w:t>元（人民币）</w:t>
            </w:r>
          </w:p>
        </w:tc>
      </w:tr>
    </w:tbl>
    <w:p w14:paraId="4D4AF205">
      <w:pPr>
        <w:snapToGrid w:val="0"/>
        <w:spacing w:line="360" w:lineRule="auto"/>
        <w:ind w:firstLine="2400" w:firstLineChars="1000"/>
        <w:jc w:val="right"/>
        <w:rPr>
          <w:rFonts w:ascii="宋体" w:hAnsi="宋体"/>
          <w:color w:val="auto"/>
          <w:sz w:val="24"/>
          <w:highlight w:val="none"/>
        </w:rPr>
      </w:pPr>
    </w:p>
    <w:p w14:paraId="50599536">
      <w:pPr>
        <w:spacing w:line="360" w:lineRule="auto"/>
        <w:ind w:firstLine="3840" w:firstLineChars="1600"/>
        <w:rPr>
          <w:rFonts w:ascii="宋体" w:hAnsi="宋体"/>
          <w:color w:val="auto"/>
          <w:sz w:val="24"/>
          <w:highlight w:val="none"/>
        </w:rPr>
      </w:pPr>
      <w:r>
        <w:rPr>
          <w:rFonts w:ascii="宋体" w:hAnsi="宋体"/>
          <w:color w:val="auto"/>
          <w:sz w:val="24"/>
          <w:highlight w:val="none"/>
        </w:rPr>
        <w:t>投标人全称（加盖公章）：</w:t>
      </w:r>
    </w:p>
    <w:p w14:paraId="6C1D4457">
      <w:pPr>
        <w:snapToGrid w:val="0"/>
        <w:spacing w:line="360" w:lineRule="auto"/>
        <w:ind w:firstLine="2400" w:firstLineChars="1000"/>
        <w:jc w:val="right"/>
        <w:rPr>
          <w:rFonts w:ascii="宋体" w:hAnsi="宋体"/>
          <w:color w:val="auto"/>
          <w:sz w:val="24"/>
          <w:highlight w:val="none"/>
        </w:rPr>
      </w:pPr>
    </w:p>
    <w:p w14:paraId="7D1F19C0">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569BCC56">
      <w:pPr>
        <w:rPr>
          <w:rFonts w:ascii="宋体" w:hAnsi="宋体"/>
          <w:color w:val="auto"/>
          <w:sz w:val="24"/>
          <w:highlight w:val="none"/>
        </w:rPr>
      </w:pPr>
    </w:p>
    <w:p w14:paraId="7435E777">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5AB7222C">
      <w:pPr>
        <w:spacing w:line="360" w:lineRule="auto"/>
        <w:ind w:firstLine="480"/>
        <w:rPr>
          <w:rFonts w:ascii="宋体" w:hAnsi="宋体"/>
          <w:color w:val="auto"/>
          <w:sz w:val="24"/>
          <w:highlight w:val="none"/>
        </w:rPr>
      </w:pPr>
      <w:r>
        <w:rPr>
          <w:rFonts w:ascii="宋体" w:hAnsi="宋体"/>
          <w:color w:val="auto"/>
          <w:sz w:val="24"/>
          <w:highlight w:val="none"/>
        </w:rPr>
        <w:t>填写说明：</w:t>
      </w:r>
    </w:p>
    <w:p w14:paraId="7ECA672E">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0ED92E83">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开标一览表和分项报价表必须加盖投标单位公章</w:t>
      </w:r>
      <w:r>
        <w:rPr>
          <w:rFonts w:ascii="宋体" w:hAnsi="宋体"/>
          <w:color w:val="auto"/>
          <w:sz w:val="24"/>
          <w:highlight w:val="none"/>
        </w:rPr>
        <w:t>。</w:t>
      </w:r>
    </w:p>
    <w:p w14:paraId="2AA265A6">
      <w:pPr>
        <w:spacing w:line="360" w:lineRule="auto"/>
        <w:rPr>
          <w:rFonts w:ascii="宋体" w:hAnsi="宋体"/>
          <w:color w:val="auto"/>
          <w:sz w:val="24"/>
          <w:highlight w:val="none"/>
        </w:rPr>
      </w:pPr>
      <w:r>
        <w:rPr>
          <w:rFonts w:ascii="宋体" w:hAnsi="宋体"/>
          <w:color w:val="auto"/>
          <w:sz w:val="24"/>
          <w:highlight w:val="none"/>
        </w:rPr>
        <w:t xml:space="preserve"> </w:t>
      </w:r>
    </w:p>
    <w:sectPr>
      <w:headerReference r:id="rId3" w:type="default"/>
      <w:footerReference r:id="rId4" w:type="default"/>
      <w:type w:val="continuous"/>
      <w:pgSz w:w="11910" w:h="16840"/>
      <w:pgMar w:top="1418" w:right="1137" w:bottom="1134" w:left="1418" w:header="851" w:footer="992" w:gutter="0"/>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Helvetica-Light">
    <w:altName w:val="Malgun Gothic"/>
    <w:panose1 w:val="00000000000000000000"/>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05B38">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74A3">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4"/>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29"/>
      <w:suff w:val="nothing"/>
      <w:lvlText w:val="（%1）"/>
      <w:lvlJc w:val="left"/>
    </w:lvl>
  </w:abstractNum>
  <w:abstractNum w:abstractNumId="3">
    <w:nsid w:val="FF5B4FF2"/>
    <w:multiLevelType w:val="singleLevel"/>
    <w:tmpl w:val="FF5B4FF2"/>
    <w:lvl w:ilvl="0" w:tentative="0">
      <w:start w:val="1"/>
      <w:numFmt w:val="decimal"/>
      <w:suff w:val="nothing"/>
      <w:lvlText w:val="%1、"/>
      <w:lvlJc w:val="left"/>
    </w:lvl>
  </w:abstractNum>
  <w:abstractNum w:abstractNumId="4">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1F24F193"/>
    <w:multiLevelType w:val="singleLevel"/>
    <w:tmpl w:val="1F24F193"/>
    <w:lvl w:ilvl="0" w:tentative="0">
      <w:start w:val="11"/>
      <w:numFmt w:val="chineseCounting"/>
      <w:suff w:val="nothing"/>
      <w:lvlText w:val="%1、"/>
      <w:lvlJc w:val="left"/>
      <w:rPr>
        <w:rFonts w:hint="eastAsia"/>
      </w:rPr>
    </w:lvl>
  </w:abstractNum>
  <w:abstractNum w:abstractNumId="6">
    <w:nsid w:val="389C6B92"/>
    <w:multiLevelType w:val="singleLevel"/>
    <w:tmpl w:val="389C6B92"/>
    <w:lvl w:ilvl="0" w:tentative="0">
      <w:start w:val="1"/>
      <w:numFmt w:val="chineseCounting"/>
      <w:suff w:val="nothing"/>
      <w:lvlText w:val="%1、"/>
      <w:lvlJc w:val="left"/>
      <w:rPr>
        <w:rFonts w:hint="eastAsia"/>
      </w:rPr>
    </w:lvl>
  </w:abstractNum>
  <w:abstractNum w:abstractNumId="7">
    <w:nsid w:val="3C684E52"/>
    <w:multiLevelType w:val="singleLevel"/>
    <w:tmpl w:val="3C684E52"/>
    <w:lvl w:ilvl="0" w:tentative="0">
      <w:start w:val="8"/>
      <w:numFmt w:val="decimal"/>
      <w:pStyle w:val="329"/>
      <w:suff w:val="nothing"/>
      <w:lvlText w:val="%1、"/>
      <w:lvlJc w:val="left"/>
    </w:lvl>
  </w:abstractNum>
  <w:abstractNum w:abstractNumId="8">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7"/>
  </w:num>
  <w:num w:numId="3">
    <w:abstractNumId w:val="9"/>
  </w:num>
  <w:num w:numId="4">
    <w:abstractNumId w:val="8"/>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DI2Mzk2MTRmMTNmNjMzODJmNGIyYTRjYmE2ZmE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266"/>
    <w:rsid w:val="000143BB"/>
    <w:rsid w:val="000143C6"/>
    <w:rsid w:val="000147F9"/>
    <w:rsid w:val="00015A76"/>
    <w:rsid w:val="00016B60"/>
    <w:rsid w:val="00020D66"/>
    <w:rsid w:val="0002247E"/>
    <w:rsid w:val="0002253D"/>
    <w:rsid w:val="0002286B"/>
    <w:rsid w:val="000238F3"/>
    <w:rsid w:val="00024171"/>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12C1"/>
    <w:rsid w:val="0006206A"/>
    <w:rsid w:val="00062BD7"/>
    <w:rsid w:val="00066F07"/>
    <w:rsid w:val="0006739A"/>
    <w:rsid w:val="00067D18"/>
    <w:rsid w:val="00067E7C"/>
    <w:rsid w:val="00070067"/>
    <w:rsid w:val="00070C54"/>
    <w:rsid w:val="00071065"/>
    <w:rsid w:val="00071A57"/>
    <w:rsid w:val="0007285A"/>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2B0A"/>
    <w:rsid w:val="00183ACC"/>
    <w:rsid w:val="00183CB8"/>
    <w:rsid w:val="00184D3C"/>
    <w:rsid w:val="001857F9"/>
    <w:rsid w:val="00185AE3"/>
    <w:rsid w:val="00185D32"/>
    <w:rsid w:val="0018688F"/>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593A"/>
    <w:rsid w:val="00305DF7"/>
    <w:rsid w:val="00306228"/>
    <w:rsid w:val="003073BA"/>
    <w:rsid w:val="0031109B"/>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D6"/>
    <w:rsid w:val="00322381"/>
    <w:rsid w:val="00323548"/>
    <w:rsid w:val="00323F3A"/>
    <w:rsid w:val="00324041"/>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672B9"/>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2724"/>
    <w:rsid w:val="004F2ADE"/>
    <w:rsid w:val="004F2CA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F30"/>
    <w:rsid w:val="00570F48"/>
    <w:rsid w:val="00570FC4"/>
    <w:rsid w:val="005731AD"/>
    <w:rsid w:val="00573951"/>
    <w:rsid w:val="0057395D"/>
    <w:rsid w:val="005745AF"/>
    <w:rsid w:val="005779AB"/>
    <w:rsid w:val="005801A9"/>
    <w:rsid w:val="00581931"/>
    <w:rsid w:val="005823C6"/>
    <w:rsid w:val="00584B13"/>
    <w:rsid w:val="00584C2B"/>
    <w:rsid w:val="00584C71"/>
    <w:rsid w:val="00585044"/>
    <w:rsid w:val="00585719"/>
    <w:rsid w:val="00586B27"/>
    <w:rsid w:val="00586C7A"/>
    <w:rsid w:val="005877F0"/>
    <w:rsid w:val="00587B50"/>
    <w:rsid w:val="00587BB9"/>
    <w:rsid w:val="00587CBD"/>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527C"/>
    <w:rsid w:val="007B5D72"/>
    <w:rsid w:val="007B643B"/>
    <w:rsid w:val="007B6EEE"/>
    <w:rsid w:val="007C100D"/>
    <w:rsid w:val="007C14DD"/>
    <w:rsid w:val="007C1AF3"/>
    <w:rsid w:val="007C2C7C"/>
    <w:rsid w:val="007C2DD9"/>
    <w:rsid w:val="007C30BE"/>
    <w:rsid w:val="007C3711"/>
    <w:rsid w:val="007C3736"/>
    <w:rsid w:val="007C4264"/>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41D0"/>
    <w:rsid w:val="00814910"/>
    <w:rsid w:val="00814FD6"/>
    <w:rsid w:val="00815CC2"/>
    <w:rsid w:val="008164A6"/>
    <w:rsid w:val="008200A4"/>
    <w:rsid w:val="0082195A"/>
    <w:rsid w:val="00822619"/>
    <w:rsid w:val="00822AC3"/>
    <w:rsid w:val="00823071"/>
    <w:rsid w:val="008250E7"/>
    <w:rsid w:val="008252C1"/>
    <w:rsid w:val="00825836"/>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F9E"/>
    <w:rsid w:val="008B405A"/>
    <w:rsid w:val="008B416D"/>
    <w:rsid w:val="008B569E"/>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53A8"/>
    <w:rsid w:val="00A95750"/>
    <w:rsid w:val="00A96246"/>
    <w:rsid w:val="00A96766"/>
    <w:rsid w:val="00A967F6"/>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9D5"/>
    <w:rsid w:val="00CF2F16"/>
    <w:rsid w:val="00CF4292"/>
    <w:rsid w:val="00CF4EC2"/>
    <w:rsid w:val="00CF50E5"/>
    <w:rsid w:val="00CF543E"/>
    <w:rsid w:val="00CF61CE"/>
    <w:rsid w:val="00CF666A"/>
    <w:rsid w:val="00CF6855"/>
    <w:rsid w:val="00CF725B"/>
    <w:rsid w:val="00CF7566"/>
    <w:rsid w:val="00D0171F"/>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5603"/>
    <w:rsid w:val="00DE5759"/>
    <w:rsid w:val="00DE5839"/>
    <w:rsid w:val="00DE595C"/>
    <w:rsid w:val="00DE620A"/>
    <w:rsid w:val="00DE687E"/>
    <w:rsid w:val="00DE6F47"/>
    <w:rsid w:val="00DE76CF"/>
    <w:rsid w:val="00DE7800"/>
    <w:rsid w:val="00DF008A"/>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F37"/>
    <w:rsid w:val="00EF129C"/>
    <w:rsid w:val="00EF1464"/>
    <w:rsid w:val="00EF224B"/>
    <w:rsid w:val="00EF32F7"/>
    <w:rsid w:val="00EF3B7F"/>
    <w:rsid w:val="00EF40BE"/>
    <w:rsid w:val="00EF49E1"/>
    <w:rsid w:val="00EF53C0"/>
    <w:rsid w:val="00EF5792"/>
    <w:rsid w:val="00EF59AB"/>
    <w:rsid w:val="00EF5BA2"/>
    <w:rsid w:val="00EF641F"/>
    <w:rsid w:val="00EF6871"/>
    <w:rsid w:val="00EF6BF4"/>
    <w:rsid w:val="00F0070A"/>
    <w:rsid w:val="00F00746"/>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211A"/>
    <w:rsid w:val="00F828EC"/>
    <w:rsid w:val="00F83E8B"/>
    <w:rsid w:val="00F841EC"/>
    <w:rsid w:val="00F84987"/>
    <w:rsid w:val="00F84CB3"/>
    <w:rsid w:val="00F85C70"/>
    <w:rsid w:val="00F85D8A"/>
    <w:rsid w:val="00F87CAE"/>
    <w:rsid w:val="00F9056F"/>
    <w:rsid w:val="00F907C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16312F"/>
    <w:rsid w:val="0124683C"/>
    <w:rsid w:val="017B2F92"/>
    <w:rsid w:val="01934780"/>
    <w:rsid w:val="02683825"/>
    <w:rsid w:val="02781BC8"/>
    <w:rsid w:val="030719AC"/>
    <w:rsid w:val="03231B33"/>
    <w:rsid w:val="037C1244"/>
    <w:rsid w:val="038D0D6B"/>
    <w:rsid w:val="0479743D"/>
    <w:rsid w:val="04DC01EC"/>
    <w:rsid w:val="05026CE4"/>
    <w:rsid w:val="05D25530"/>
    <w:rsid w:val="05DD246D"/>
    <w:rsid w:val="06D83F39"/>
    <w:rsid w:val="06E964B9"/>
    <w:rsid w:val="074107DA"/>
    <w:rsid w:val="075E65F7"/>
    <w:rsid w:val="087D7F38"/>
    <w:rsid w:val="08C16076"/>
    <w:rsid w:val="08EF6213"/>
    <w:rsid w:val="0957288F"/>
    <w:rsid w:val="095C18FB"/>
    <w:rsid w:val="098470A4"/>
    <w:rsid w:val="09862E1C"/>
    <w:rsid w:val="09A6701A"/>
    <w:rsid w:val="09A84B40"/>
    <w:rsid w:val="09D771D4"/>
    <w:rsid w:val="0A075D0B"/>
    <w:rsid w:val="0B1D50BA"/>
    <w:rsid w:val="0BE8391A"/>
    <w:rsid w:val="0C8E322A"/>
    <w:rsid w:val="0DEB5944"/>
    <w:rsid w:val="0E83792A"/>
    <w:rsid w:val="0E8A7BF4"/>
    <w:rsid w:val="0EA224A6"/>
    <w:rsid w:val="0F514856"/>
    <w:rsid w:val="0F694D72"/>
    <w:rsid w:val="0FAB4284"/>
    <w:rsid w:val="0FB471A8"/>
    <w:rsid w:val="0FF17CF7"/>
    <w:rsid w:val="108552A4"/>
    <w:rsid w:val="108C51BC"/>
    <w:rsid w:val="10A32505"/>
    <w:rsid w:val="10A75CE3"/>
    <w:rsid w:val="111D0683"/>
    <w:rsid w:val="121E62E8"/>
    <w:rsid w:val="123F43C4"/>
    <w:rsid w:val="12485112"/>
    <w:rsid w:val="12DF17F8"/>
    <w:rsid w:val="12F86B39"/>
    <w:rsid w:val="130C6ECC"/>
    <w:rsid w:val="13313DF9"/>
    <w:rsid w:val="135062A3"/>
    <w:rsid w:val="136F4921"/>
    <w:rsid w:val="139323BD"/>
    <w:rsid w:val="13E04CDB"/>
    <w:rsid w:val="14A979BF"/>
    <w:rsid w:val="15693843"/>
    <w:rsid w:val="169C4F0C"/>
    <w:rsid w:val="18025199"/>
    <w:rsid w:val="1838462F"/>
    <w:rsid w:val="185D11EC"/>
    <w:rsid w:val="18A64941"/>
    <w:rsid w:val="194B373A"/>
    <w:rsid w:val="1974516C"/>
    <w:rsid w:val="19AA220F"/>
    <w:rsid w:val="19B3285C"/>
    <w:rsid w:val="1A23669C"/>
    <w:rsid w:val="1A514D80"/>
    <w:rsid w:val="1A613215"/>
    <w:rsid w:val="1A633C55"/>
    <w:rsid w:val="1A9A6727"/>
    <w:rsid w:val="1AB05F4B"/>
    <w:rsid w:val="1AE71067"/>
    <w:rsid w:val="1AEC149E"/>
    <w:rsid w:val="1C5A43C0"/>
    <w:rsid w:val="1CB3587E"/>
    <w:rsid w:val="1D295B40"/>
    <w:rsid w:val="1D4D13CE"/>
    <w:rsid w:val="1DB23D88"/>
    <w:rsid w:val="1DDD7655"/>
    <w:rsid w:val="1F040D88"/>
    <w:rsid w:val="1F703EFB"/>
    <w:rsid w:val="1FEF6637"/>
    <w:rsid w:val="20210D51"/>
    <w:rsid w:val="20592D03"/>
    <w:rsid w:val="20CA314D"/>
    <w:rsid w:val="21134B3E"/>
    <w:rsid w:val="21156B08"/>
    <w:rsid w:val="212E7BC9"/>
    <w:rsid w:val="21415B4F"/>
    <w:rsid w:val="21423675"/>
    <w:rsid w:val="21867A08"/>
    <w:rsid w:val="220A2750"/>
    <w:rsid w:val="220F79FB"/>
    <w:rsid w:val="22567656"/>
    <w:rsid w:val="226A4C31"/>
    <w:rsid w:val="2321413F"/>
    <w:rsid w:val="232F19D7"/>
    <w:rsid w:val="23614286"/>
    <w:rsid w:val="23AC7F3C"/>
    <w:rsid w:val="23D135AE"/>
    <w:rsid w:val="24333D63"/>
    <w:rsid w:val="243C7566"/>
    <w:rsid w:val="24B44889"/>
    <w:rsid w:val="24BE74B6"/>
    <w:rsid w:val="25867FD4"/>
    <w:rsid w:val="26282E39"/>
    <w:rsid w:val="2668592C"/>
    <w:rsid w:val="26997893"/>
    <w:rsid w:val="279A7D67"/>
    <w:rsid w:val="27B506FD"/>
    <w:rsid w:val="2858552C"/>
    <w:rsid w:val="285919D0"/>
    <w:rsid w:val="28E004DD"/>
    <w:rsid w:val="290D27BA"/>
    <w:rsid w:val="29932CBF"/>
    <w:rsid w:val="2A8C4388"/>
    <w:rsid w:val="2AE71DF0"/>
    <w:rsid w:val="2B942D1F"/>
    <w:rsid w:val="2BB05D69"/>
    <w:rsid w:val="2BE041B6"/>
    <w:rsid w:val="2CEE645F"/>
    <w:rsid w:val="2CFA4E04"/>
    <w:rsid w:val="2D0A773C"/>
    <w:rsid w:val="2E2F6D2F"/>
    <w:rsid w:val="2E3A5DFF"/>
    <w:rsid w:val="2E933762"/>
    <w:rsid w:val="2E9F7664"/>
    <w:rsid w:val="2F902146"/>
    <w:rsid w:val="2FE34275"/>
    <w:rsid w:val="306058C5"/>
    <w:rsid w:val="30A25EDE"/>
    <w:rsid w:val="319C292D"/>
    <w:rsid w:val="31C14142"/>
    <w:rsid w:val="31CF685F"/>
    <w:rsid w:val="320104FF"/>
    <w:rsid w:val="32324B64"/>
    <w:rsid w:val="32AA2E28"/>
    <w:rsid w:val="32D16607"/>
    <w:rsid w:val="334F0940"/>
    <w:rsid w:val="339E0BDF"/>
    <w:rsid w:val="33BF48B0"/>
    <w:rsid w:val="34164C19"/>
    <w:rsid w:val="348222AE"/>
    <w:rsid w:val="34B23CAD"/>
    <w:rsid w:val="34F14D3E"/>
    <w:rsid w:val="35A869C4"/>
    <w:rsid w:val="36280C33"/>
    <w:rsid w:val="36872495"/>
    <w:rsid w:val="36E814F1"/>
    <w:rsid w:val="36F15A3F"/>
    <w:rsid w:val="370945C1"/>
    <w:rsid w:val="37235156"/>
    <w:rsid w:val="37515F68"/>
    <w:rsid w:val="37702990"/>
    <w:rsid w:val="37732382"/>
    <w:rsid w:val="37E1109A"/>
    <w:rsid w:val="38325D99"/>
    <w:rsid w:val="384F43B6"/>
    <w:rsid w:val="38706120"/>
    <w:rsid w:val="388B6865"/>
    <w:rsid w:val="38F44DFD"/>
    <w:rsid w:val="38FF10AA"/>
    <w:rsid w:val="396E2E01"/>
    <w:rsid w:val="3A52627F"/>
    <w:rsid w:val="3A571AE7"/>
    <w:rsid w:val="3A825DDE"/>
    <w:rsid w:val="3ADD553D"/>
    <w:rsid w:val="3B4958D4"/>
    <w:rsid w:val="3BE61375"/>
    <w:rsid w:val="3C8914D2"/>
    <w:rsid w:val="3CC35212"/>
    <w:rsid w:val="3CF9307F"/>
    <w:rsid w:val="3D330584"/>
    <w:rsid w:val="3E246184"/>
    <w:rsid w:val="3EB2553E"/>
    <w:rsid w:val="3F1838D2"/>
    <w:rsid w:val="3F5D7BA0"/>
    <w:rsid w:val="3FB90C6E"/>
    <w:rsid w:val="3FBA6DA0"/>
    <w:rsid w:val="40552625"/>
    <w:rsid w:val="4093314D"/>
    <w:rsid w:val="40AA0BC3"/>
    <w:rsid w:val="412128EC"/>
    <w:rsid w:val="41A72ADD"/>
    <w:rsid w:val="41DD6D76"/>
    <w:rsid w:val="42B05C5D"/>
    <w:rsid w:val="431E7646"/>
    <w:rsid w:val="43D146B8"/>
    <w:rsid w:val="441647C1"/>
    <w:rsid w:val="442B201A"/>
    <w:rsid w:val="443F5AC6"/>
    <w:rsid w:val="44531571"/>
    <w:rsid w:val="445B0426"/>
    <w:rsid w:val="44615A3C"/>
    <w:rsid w:val="449B0822"/>
    <w:rsid w:val="44C10289"/>
    <w:rsid w:val="44CC3808"/>
    <w:rsid w:val="451C1963"/>
    <w:rsid w:val="45383140"/>
    <w:rsid w:val="45440EBA"/>
    <w:rsid w:val="45806396"/>
    <w:rsid w:val="458616E3"/>
    <w:rsid w:val="463C7375"/>
    <w:rsid w:val="46845A12"/>
    <w:rsid w:val="468477C0"/>
    <w:rsid w:val="46CC73B9"/>
    <w:rsid w:val="47392DC3"/>
    <w:rsid w:val="47796812"/>
    <w:rsid w:val="48A51C70"/>
    <w:rsid w:val="48B14AB8"/>
    <w:rsid w:val="48C12F4D"/>
    <w:rsid w:val="49430CDD"/>
    <w:rsid w:val="4A2E4D36"/>
    <w:rsid w:val="4A5A7640"/>
    <w:rsid w:val="4ADF5BE0"/>
    <w:rsid w:val="4B0F1902"/>
    <w:rsid w:val="4B1C1647"/>
    <w:rsid w:val="4B6D2F19"/>
    <w:rsid w:val="4B8E10E1"/>
    <w:rsid w:val="4BC21149"/>
    <w:rsid w:val="4C3B0AE9"/>
    <w:rsid w:val="4C59349D"/>
    <w:rsid w:val="4CE60E9A"/>
    <w:rsid w:val="4CF44D53"/>
    <w:rsid w:val="4D3637DE"/>
    <w:rsid w:val="4DA16EA9"/>
    <w:rsid w:val="4DD059E1"/>
    <w:rsid w:val="4E4C150B"/>
    <w:rsid w:val="4EB0594F"/>
    <w:rsid w:val="4F9F38BD"/>
    <w:rsid w:val="4FDA48F5"/>
    <w:rsid w:val="4FFD31F9"/>
    <w:rsid w:val="50577E57"/>
    <w:rsid w:val="5084660D"/>
    <w:rsid w:val="51181B78"/>
    <w:rsid w:val="5119769F"/>
    <w:rsid w:val="51821EAD"/>
    <w:rsid w:val="51C72AFE"/>
    <w:rsid w:val="522E717A"/>
    <w:rsid w:val="527D649D"/>
    <w:rsid w:val="52946FDD"/>
    <w:rsid w:val="529F7511"/>
    <w:rsid w:val="52B7716F"/>
    <w:rsid w:val="5334770E"/>
    <w:rsid w:val="540B1521"/>
    <w:rsid w:val="54602B84"/>
    <w:rsid w:val="54AC7A3E"/>
    <w:rsid w:val="54B72B11"/>
    <w:rsid w:val="54D67D81"/>
    <w:rsid w:val="54D933CD"/>
    <w:rsid w:val="562543F0"/>
    <w:rsid w:val="563B1615"/>
    <w:rsid w:val="569D042A"/>
    <w:rsid w:val="56B23ED5"/>
    <w:rsid w:val="56B51C18"/>
    <w:rsid w:val="576158FB"/>
    <w:rsid w:val="576A47B0"/>
    <w:rsid w:val="57BD5228"/>
    <w:rsid w:val="57F90F5B"/>
    <w:rsid w:val="583B7EFB"/>
    <w:rsid w:val="58893182"/>
    <w:rsid w:val="593F3A1A"/>
    <w:rsid w:val="5988716F"/>
    <w:rsid w:val="59FE4105"/>
    <w:rsid w:val="5A751DEA"/>
    <w:rsid w:val="5AAD1AE8"/>
    <w:rsid w:val="5AEC74DB"/>
    <w:rsid w:val="5B0F5D9A"/>
    <w:rsid w:val="5B5B7740"/>
    <w:rsid w:val="5B8A2B56"/>
    <w:rsid w:val="5BF166F0"/>
    <w:rsid w:val="5C3A043F"/>
    <w:rsid w:val="5D144DFE"/>
    <w:rsid w:val="5D153410"/>
    <w:rsid w:val="5D706225"/>
    <w:rsid w:val="5D9C768D"/>
    <w:rsid w:val="5DA86032"/>
    <w:rsid w:val="5DDD21F2"/>
    <w:rsid w:val="5DE84681"/>
    <w:rsid w:val="5E0A2DD7"/>
    <w:rsid w:val="5E5B3BCE"/>
    <w:rsid w:val="5F942D12"/>
    <w:rsid w:val="5F9D3BEB"/>
    <w:rsid w:val="5FC70EB1"/>
    <w:rsid w:val="5FFE63DD"/>
    <w:rsid w:val="601E0A8A"/>
    <w:rsid w:val="6094289E"/>
    <w:rsid w:val="609B3C2C"/>
    <w:rsid w:val="617D3332"/>
    <w:rsid w:val="61C03014"/>
    <w:rsid w:val="623358B0"/>
    <w:rsid w:val="623D4573"/>
    <w:rsid w:val="62436329"/>
    <w:rsid w:val="62522A10"/>
    <w:rsid w:val="625271B2"/>
    <w:rsid w:val="62E01DCA"/>
    <w:rsid w:val="630F445E"/>
    <w:rsid w:val="636F08D1"/>
    <w:rsid w:val="63EE6109"/>
    <w:rsid w:val="64460353"/>
    <w:rsid w:val="64520AA6"/>
    <w:rsid w:val="64682077"/>
    <w:rsid w:val="65267312"/>
    <w:rsid w:val="658D6624"/>
    <w:rsid w:val="65CD2ADA"/>
    <w:rsid w:val="65E63B9C"/>
    <w:rsid w:val="663D24C4"/>
    <w:rsid w:val="663D6979"/>
    <w:rsid w:val="66715E2F"/>
    <w:rsid w:val="667B2536"/>
    <w:rsid w:val="66F84AC0"/>
    <w:rsid w:val="679909C4"/>
    <w:rsid w:val="67E934CF"/>
    <w:rsid w:val="681A18DB"/>
    <w:rsid w:val="68DC28D0"/>
    <w:rsid w:val="694A4441"/>
    <w:rsid w:val="69690360"/>
    <w:rsid w:val="69771088"/>
    <w:rsid w:val="6A81400C"/>
    <w:rsid w:val="6AED4DEB"/>
    <w:rsid w:val="6B360F09"/>
    <w:rsid w:val="6BD226CB"/>
    <w:rsid w:val="6BEC278A"/>
    <w:rsid w:val="6C184383"/>
    <w:rsid w:val="6C4258A4"/>
    <w:rsid w:val="6C5A2BED"/>
    <w:rsid w:val="6C7A2348"/>
    <w:rsid w:val="6CD738FF"/>
    <w:rsid w:val="6D336AB4"/>
    <w:rsid w:val="6D716441"/>
    <w:rsid w:val="6E3D6323"/>
    <w:rsid w:val="6E697118"/>
    <w:rsid w:val="6EB34837"/>
    <w:rsid w:val="6EB74327"/>
    <w:rsid w:val="6EE82206"/>
    <w:rsid w:val="6F013B3F"/>
    <w:rsid w:val="6F1E6154"/>
    <w:rsid w:val="6F585FB4"/>
    <w:rsid w:val="6FEA4288"/>
    <w:rsid w:val="70534C06"/>
    <w:rsid w:val="70C527FF"/>
    <w:rsid w:val="70E926D2"/>
    <w:rsid w:val="70F3716D"/>
    <w:rsid w:val="712D267F"/>
    <w:rsid w:val="718933E0"/>
    <w:rsid w:val="72207836"/>
    <w:rsid w:val="72721ECF"/>
    <w:rsid w:val="728E2F2C"/>
    <w:rsid w:val="72C60FDD"/>
    <w:rsid w:val="7358775B"/>
    <w:rsid w:val="73C447D5"/>
    <w:rsid w:val="743021DF"/>
    <w:rsid w:val="746B36BD"/>
    <w:rsid w:val="7564688B"/>
    <w:rsid w:val="759A22AD"/>
    <w:rsid w:val="75A3343A"/>
    <w:rsid w:val="75AA6994"/>
    <w:rsid w:val="75B87CCD"/>
    <w:rsid w:val="75E11C8A"/>
    <w:rsid w:val="766F4367"/>
    <w:rsid w:val="76724FD8"/>
    <w:rsid w:val="76DE441B"/>
    <w:rsid w:val="770F4B00"/>
    <w:rsid w:val="77302EC9"/>
    <w:rsid w:val="78006396"/>
    <w:rsid w:val="785E1CB7"/>
    <w:rsid w:val="78986F77"/>
    <w:rsid w:val="79A94DE0"/>
    <w:rsid w:val="7A301431"/>
    <w:rsid w:val="7A603AC5"/>
    <w:rsid w:val="7A861051"/>
    <w:rsid w:val="7A913AB5"/>
    <w:rsid w:val="7AE552F3"/>
    <w:rsid w:val="7AFC3502"/>
    <w:rsid w:val="7BCB48B6"/>
    <w:rsid w:val="7CBB76D8"/>
    <w:rsid w:val="7CD6006E"/>
    <w:rsid w:val="7D080444"/>
    <w:rsid w:val="7D0B7F22"/>
    <w:rsid w:val="7D344D95"/>
    <w:rsid w:val="7D943A85"/>
    <w:rsid w:val="7DE15CAB"/>
    <w:rsid w:val="7E36758B"/>
    <w:rsid w:val="7EBA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8"/>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9"/>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0"/>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1"/>
    <w:autoRedefine/>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82"/>
    <w:autoRedefine/>
    <w:qFormat/>
    <w:uiPriority w:val="0"/>
    <w:pPr>
      <w:keepNext/>
      <w:keepLines/>
      <w:spacing w:line="360" w:lineRule="auto"/>
      <w:ind w:left="425" w:hanging="425"/>
      <w:outlineLvl w:val="6"/>
    </w:pPr>
    <w:rPr>
      <w:b/>
      <w:bCs/>
      <w:sz w:val="24"/>
    </w:rPr>
  </w:style>
  <w:style w:type="paragraph" w:styleId="9">
    <w:name w:val="heading 8"/>
    <w:basedOn w:val="1"/>
    <w:next w:val="1"/>
    <w:link w:val="83"/>
    <w:qFormat/>
    <w:uiPriority w:val="0"/>
    <w:pPr>
      <w:keepNext/>
      <w:keepLines/>
      <w:spacing w:line="360" w:lineRule="auto"/>
      <w:ind w:left="425" w:hanging="425"/>
      <w:outlineLvl w:val="7"/>
    </w:pPr>
    <w:rPr>
      <w:b/>
      <w:sz w:val="24"/>
    </w:rPr>
  </w:style>
  <w:style w:type="paragraph" w:styleId="10">
    <w:name w:val="heading 9"/>
    <w:basedOn w:val="1"/>
    <w:next w:val="1"/>
    <w:link w:val="84"/>
    <w:autoRedefine/>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jc w:val="left"/>
    </w:pPr>
    <w:rPr>
      <w:rFonts w:ascii="Calibri" w:hAnsi="Calibri" w:cs="Calibri"/>
      <w:sz w:val="18"/>
      <w:szCs w:val="18"/>
    </w:rPr>
  </w:style>
  <w:style w:type="paragraph" w:styleId="12">
    <w:name w:val="List Bullet 4"/>
    <w:basedOn w:val="1"/>
    <w:autoRedefine/>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autoRedefine/>
    <w:unhideWhenUsed/>
    <w:qFormat/>
    <w:uiPriority w:val="0"/>
    <w:pPr>
      <w:ind w:left="1400" w:leftChars="1400"/>
    </w:pPr>
    <w:rPr>
      <w:rFonts w:ascii="Calibri" w:hAnsi="Calibri"/>
      <w:szCs w:val="22"/>
    </w:rPr>
  </w:style>
  <w:style w:type="paragraph" w:styleId="14">
    <w:name w:val="List Number"/>
    <w:basedOn w:val="1"/>
    <w:autoRedefine/>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5"/>
    <w:autoRedefine/>
    <w:unhideWhenUsed/>
    <w:qFormat/>
    <w:uiPriority w:val="0"/>
    <w:pPr>
      <w:ind w:firstLine="420" w:firstLineChars="200"/>
    </w:pPr>
    <w:rPr>
      <w:kern w:val="0"/>
      <w:sz w:val="20"/>
    </w:rPr>
  </w:style>
  <w:style w:type="paragraph" w:styleId="16">
    <w:name w:val="caption"/>
    <w:basedOn w:val="1"/>
    <w:next w:val="1"/>
    <w:link w:val="86"/>
    <w:autoRedefine/>
    <w:qFormat/>
    <w:uiPriority w:val="0"/>
    <w:pPr>
      <w:spacing w:beforeLines="50" w:afterLines="50" w:line="360" w:lineRule="auto"/>
      <w:jc w:val="center"/>
    </w:pPr>
    <w:rPr>
      <w:rFonts w:ascii="Arial" w:hAnsi="Arial"/>
      <w:sz w:val="24"/>
      <w:szCs w:val="20"/>
    </w:rPr>
  </w:style>
  <w:style w:type="paragraph" w:styleId="17">
    <w:name w:val="index 5"/>
    <w:basedOn w:val="1"/>
    <w:next w:val="1"/>
    <w:autoRedefine/>
    <w:unhideWhenUsed/>
    <w:qFormat/>
    <w:uiPriority w:val="0"/>
    <w:pPr>
      <w:ind w:left="800" w:leftChars="800"/>
    </w:pPr>
    <w:rPr>
      <w:rFonts w:ascii="Calibri" w:hAnsi="Calibri"/>
      <w:szCs w:val="22"/>
    </w:rPr>
  </w:style>
  <w:style w:type="paragraph" w:styleId="18">
    <w:name w:val="List Bullet"/>
    <w:basedOn w:val="1"/>
    <w:autoRedefine/>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87"/>
    <w:autoRedefine/>
    <w:qFormat/>
    <w:uiPriority w:val="99"/>
    <w:pPr>
      <w:shd w:val="clear" w:color="auto" w:fill="000080"/>
    </w:pPr>
  </w:style>
  <w:style w:type="paragraph" w:styleId="20">
    <w:name w:val="annotation text"/>
    <w:basedOn w:val="1"/>
    <w:link w:val="88"/>
    <w:autoRedefine/>
    <w:unhideWhenUsed/>
    <w:qFormat/>
    <w:uiPriority w:val="99"/>
    <w:pPr>
      <w:jc w:val="left"/>
    </w:pPr>
  </w:style>
  <w:style w:type="paragraph" w:styleId="21">
    <w:name w:val="index 6"/>
    <w:basedOn w:val="1"/>
    <w:next w:val="1"/>
    <w:autoRedefine/>
    <w:unhideWhenUsed/>
    <w:qFormat/>
    <w:uiPriority w:val="0"/>
    <w:pPr>
      <w:ind w:left="1000" w:leftChars="1000"/>
    </w:pPr>
    <w:rPr>
      <w:rFonts w:ascii="Calibri" w:hAnsi="Calibri"/>
      <w:szCs w:val="22"/>
    </w:rPr>
  </w:style>
  <w:style w:type="paragraph" w:styleId="22">
    <w:name w:val="Body Text 3"/>
    <w:basedOn w:val="1"/>
    <w:link w:val="89"/>
    <w:autoRedefine/>
    <w:qFormat/>
    <w:uiPriority w:val="0"/>
    <w:rPr>
      <w:rFonts w:ascii="楷体_GB2312" w:hAnsi="Arial" w:eastAsia="楷体_GB2312"/>
      <w:b/>
      <w:bCs/>
      <w:color w:val="000000"/>
      <w:sz w:val="24"/>
    </w:rPr>
  </w:style>
  <w:style w:type="paragraph" w:styleId="23">
    <w:name w:val="List Bullet 3"/>
    <w:basedOn w:val="1"/>
    <w:autoRedefine/>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next w:val="1"/>
    <w:link w:val="74"/>
    <w:autoRedefine/>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5">
    <w:name w:val="Body Text Indent"/>
    <w:basedOn w:val="1"/>
    <w:link w:val="90"/>
    <w:autoRedefine/>
    <w:unhideWhenUsed/>
    <w:qFormat/>
    <w:uiPriority w:val="0"/>
    <w:pPr>
      <w:spacing w:after="120"/>
      <w:ind w:left="420" w:leftChars="200"/>
    </w:pPr>
    <w:rPr>
      <w:kern w:val="0"/>
      <w:sz w:val="20"/>
    </w:rPr>
  </w:style>
  <w:style w:type="paragraph" w:styleId="26">
    <w:name w:val="Block Text"/>
    <w:basedOn w:val="1"/>
    <w:autoRedefine/>
    <w:qFormat/>
    <w:uiPriority w:val="0"/>
    <w:pPr>
      <w:adjustRightInd w:val="0"/>
      <w:ind w:left="420" w:right="33"/>
      <w:jc w:val="left"/>
      <w:textAlignment w:val="baseline"/>
    </w:pPr>
    <w:rPr>
      <w:kern w:val="0"/>
      <w:sz w:val="24"/>
      <w:szCs w:val="20"/>
    </w:rPr>
  </w:style>
  <w:style w:type="paragraph" w:styleId="27">
    <w:name w:val="List Bullet 2"/>
    <w:basedOn w:val="1"/>
    <w:autoRedefine/>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1"/>
    <w:autoRedefine/>
    <w:unhideWhenUsed/>
    <w:qFormat/>
    <w:uiPriority w:val="0"/>
    <w:rPr>
      <w:rFonts w:ascii="Calibri" w:hAnsi="Calibri"/>
      <w:i/>
      <w:iCs/>
      <w:szCs w:val="22"/>
    </w:rPr>
  </w:style>
  <w:style w:type="paragraph" w:styleId="29">
    <w:name w:val="index 4"/>
    <w:basedOn w:val="1"/>
    <w:next w:val="1"/>
    <w:autoRedefine/>
    <w:qFormat/>
    <w:uiPriority w:val="0"/>
    <w:pPr>
      <w:ind w:left="600" w:leftChars="600"/>
    </w:pPr>
    <w:rPr>
      <w:rFonts w:ascii="Verdana" w:hAnsi="Verdana"/>
      <w:szCs w:val="20"/>
    </w:rPr>
  </w:style>
  <w:style w:type="paragraph" w:styleId="30">
    <w:name w:val="toc 5"/>
    <w:basedOn w:val="1"/>
    <w:next w:val="1"/>
    <w:autoRedefine/>
    <w:unhideWhenUsed/>
    <w:qFormat/>
    <w:uiPriority w:val="39"/>
    <w:pPr>
      <w:ind w:left="840"/>
      <w:jc w:val="left"/>
    </w:pPr>
    <w:rPr>
      <w:rFonts w:ascii="Calibri" w:hAnsi="Calibri" w:cs="Calibri"/>
      <w:sz w:val="18"/>
      <w:szCs w:val="18"/>
    </w:rPr>
  </w:style>
  <w:style w:type="paragraph" w:styleId="31">
    <w:name w:val="Plain Text"/>
    <w:basedOn w:val="1"/>
    <w:link w:val="92"/>
    <w:autoRedefine/>
    <w:qFormat/>
    <w:uiPriority w:val="0"/>
    <w:rPr>
      <w:rFonts w:ascii="宋体" w:hAnsi="Courier New"/>
      <w:szCs w:val="20"/>
    </w:rPr>
  </w:style>
  <w:style w:type="paragraph" w:styleId="32">
    <w:name w:val="List Bullet 5"/>
    <w:basedOn w:val="1"/>
    <w:autoRedefine/>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autoRedefine/>
    <w:unhideWhenUsed/>
    <w:qFormat/>
    <w:uiPriority w:val="39"/>
    <w:pPr>
      <w:ind w:left="1470"/>
      <w:jc w:val="left"/>
    </w:pPr>
    <w:rPr>
      <w:rFonts w:ascii="Calibri" w:hAnsi="Calibri" w:cs="Calibri"/>
      <w:sz w:val="18"/>
      <w:szCs w:val="18"/>
    </w:rPr>
  </w:style>
  <w:style w:type="paragraph" w:styleId="34">
    <w:name w:val="index 3"/>
    <w:basedOn w:val="1"/>
    <w:next w:val="1"/>
    <w:autoRedefine/>
    <w:unhideWhenUsed/>
    <w:qFormat/>
    <w:uiPriority w:val="0"/>
    <w:pPr>
      <w:ind w:left="400" w:leftChars="400"/>
    </w:pPr>
    <w:rPr>
      <w:rFonts w:ascii="Calibri" w:hAnsi="Calibri"/>
      <w:szCs w:val="22"/>
    </w:rPr>
  </w:style>
  <w:style w:type="paragraph" w:styleId="35">
    <w:name w:val="Date"/>
    <w:basedOn w:val="1"/>
    <w:next w:val="1"/>
    <w:link w:val="93"/>
    <w:autoRedefine/>
    <w:qFormat/>
    <w:uiPriority w:val="0"/>
    <w:pPr>
      <w:ind w:left="100"/>
    </w:pPr>
    <w:rPr>
      <w:rFonts w:ascii="仿宋_GB2312" w:hAnsi="Courier New" w:eastAsia="仿宋_GB2312"/>
      <w:sz w:val="28"/>
      <w:szCs w:val="20"/>
    </w:rPr>
  </w:style>
  <w:style w:type="paragraph" w:styleId="36">
    <w:name w:val="Body Text Indent 2"/>
    <w:basedOn w:val="1"/>
    <w:link w:val="94"/>
    <w:autoRedefine/>
    <w:qFormat/>
    <w:uiPriority w:val="99"/>
    <w:pPr>
      <w:spacing w:after="120" w:line="480" w:lineRule="auto"/>
      <w:ind w:left="420" w:leftChars="200"/>
    </w:pPr>
  </w:style>
  <w:style w:type="paragraph" w:styleId="37">
    <w:name w:val="endnote text"/>
    <w:basedOn w:val="1"/>
    <w:link w:val="95"/>
    <w:autoRedefine/>
    <w:unhideWhenUsed/>
    <w:qFormat/>
    <w:uiPriority w:val="0"/>
    <w:pPr>
      <w:widowControl/>
      <w:snapToGrid w:val="0"/>
      <w:jc w:val="left"/>
    </w:pPr>
    <w:rPr>
      <w:rFonts w:ascii="宋体" w:hAnsi="Calibri"/>
      <w:bCs/>
      <w:kern w:val="0"/>
      <w:szCs w:val="21"/>
    </w:rPr>
  </w:style>
  <w:style w:type="paragraph" w:styleId="38">
    <w:name w:val="Balloon Text"/>
    <w:basedOn w:val="1"/>
    <w:link w:val="96"/>
    <w:autoRedefine/>
    <w:unhideWhenUsed/>
    <w:qFormat/>
    <w:uiPriority w:val="99"/>
    <w:rPr>
      <w:kern w:val="0"/>
      <w:sz w:val="18"/>
      <w:szCs w:val="18"/>
    </w:rPr>
  </w:style>
  <w:style w:type="paragraph" w:styleId="39">
    <w:name w:val="footer"/>
    <w:basedOn w:val="1"/>
    <w:link w:val="97"/>
    <w:autoRedefine/>
    <w:unhideWhenUsed/>
    <w:qFormat/>
    <w:uiPriority w:val="99"/>
    <w:pPr>
      <w:tabs>
        <w:tab w:val="center" w:pos="4153"/>
        <w:tab w:val="right" w:pos="8306"/>
      </w:tabs>
      <w:snapToGrid w:val="0"/>
      <w:jc w:val="left"/>
    </w:pPr>
    <w:rPr>
      <w:sz w:val="18"/>
      <w:szCs w:val="18"/>
    </w:rPr>
  </w:style>
  <w:style w:type="paragraph" w:styleId="40">
    <w:name w:val="header"/>
    <w:basedOn w:val="1"/>
    <w:link w:val="9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autoRedefine/>
    <w:qFormat/>
    <w:uiPriority w:val="39"/>
  </w:style>
  <w:style w:type="paragraph" w:styleId="42">
    <w:name w:val="toc 4"/>
    <w:basedOn w:val="1"/>
    <w:next w:val="1"/>
    <w:autoRedefine/>
    <w:unhideWhenUsed/>
    <w:qFormat/>
    <w:uiPriority w:val="39"/>
    <w:pPr>
      <w:ind w:left="630"/>
      <w:jc w:val="left"/>
    </w:pPr>
    <w:rPr>
      <w:rFonts w:ascii="Calibri" w:hAnsi="Calibri" w:cs="Calibri"/>
      <w:sz w:val="18"/>
      <w:szCs w:val="18"/>
    </w:rPr>
  </w:style>
  <w:style w:type="paragraph" w:styleId="43">
    <w:name w:val="index heading"/>
    <w:basedOn w:val="1"/>
    <w:next w:val="44"/>
    <w:autoRedefine/>
    <w:unhideWhenUsed/>
    <w:qFormat/>
    <w:uiPriority w:val="0"/>
    <w:rPr>
      <w:rFonts w:ascii="Calibri" w:hAnsi="Calibri"/>
      <w:szCs w:val="22"/>
    </w:rPr>
  </w:style>
  <w:style w:type="paragraph" w:styleId="44">
    <w:name w:val="index 1"/>
    <w:basedOn w:val="1"/>
    <w:next w:val="1"/>
    <w:autoRedefine/>
    <w:unhideWhenUsed/>
    <w:qFormat/>
    <w:uiPriority w:val="0"/>
    <w:rPr>
      <w:rFonts w:ascii="Calibri" w:hAnsi="Calibri"/>
      <w:szCs w:val="22"/>
    </w:rPr>
  </w:style>
  <w:style w:type="paragraph" w:styleId="45">
    <w:name w:val="List"/>
    <w:basedOn w:val="1"/>
    <w:autoRedefine/>
    <w:qFormat/>
    <w:uiPriority w:val="0"/>
    <w:pPr>
      <w:ind w:left="200" w:hanging="200" w:hangingChars="200"/>
    </w:pPr>
  </w:style>
  <w:style w:type="paragraph" w:styleId="46">
    <w:name w:val="footnote text"/>
    <w:basedOn w:val="1"/>
    <w:link w:val="99"/>
    <w:autoRedefine/>
    <w:unhideWhenUsed/>
    <w:qFormat/>
    <w:uiPriority w:val="0"/>
    <w:pPr>
      <w:adjustRightInd w:val="0"/>
      <w:snapToGrid w:val="0"/>
      <w:jc w:val="left"/>
    </w:pPr>
    <w:rPr>
      <w:rFonts w:ascii="宋体" w:hAnsi="Calibri"/>
      <w:bCs/>
      <w:kern w:val="0"/>
      <w:sz w:val="18"/>
      <w:szCs w:val="18"/>
    </w:rPr>
  </w:style>
  <w:style w:type="paragraph" w:styleId="47">
    <w:name w:val="toc 6"/>
    <w:basedOn w:val="1"/>
    <w:next w:val="1"/>
    <w:autoRedefine/>
    <w:unhideWhenUsed/>
    <w:qFormat/>
    <w:uiPriority w:val="39"/>
    <w:pPr>
      <w:ind w:left="1050"/>
      <w:jc w:val="left"/>
    </w:pPr>
    <w:rPr>
      <w:rFonts w:ascii="Calibri" w:hAnsi="Calibri" w:cs="Calibri"/>
      <w:sz w:val="18"/>
      <w:szCs w:val="18"/>
    </w:rPr>
  </w:style>
  <w:style w:type="paragraph" w:styleId="48">
    <w:name w:val="Body Text Indent 3"/>
    <w:basedOn w:val="1"/>
    <w:link w:val="100"/>
    <w:autoRedefine/>
    <w:qFormat/>
    <w:uiPriority w:val="0"/>
    <w:pPr>
      <w:ind w:firstLine="420" w:firstLineChars="200"/>
    </w:pPr>
    <w:rPr>
      <w:rFonts w:eastAsia="楷体_GB2312"/>
    </w:rPr>
  </w:style>
  <w:style w:type="paragraph" w:styleId="49">
    <w:name w:val="index 7"/>
    <w:basedOn w:val="1"/>
    <w:next w:val="1"/>
    <w:autoRedefine/>
    <w:unhideWhenUsed/>
    <w:qFormat/>
    <w:uiPriority w:val="0"/>
    <w:pPr>
      <w:ind w:left="1200" w:leftChars="1200"/>
    </w:pPr>
    <w:rPr>
      <w:rFonts w:ascii="Calibri" w:hAnsi="Calibri"/>
      <w:szCs w:val="22"/>
    </w:rPr>
  </w:style>
  <w:style w:type="paragraph" w:styleId="50">
    <w:name w:val="index 9"/>
    <w:basedOn w:val="1"/>
    <w:next w:val="1"/>
    <w:autoRedefine/>
    <w:unhideWhenUsed/>
    <w:qFormat/>
    <w:uiPriority w:val="0"/>
    <w:pPr>
      <w:ind w:left="1600" w:leftChars="1600"/>
    </w:pPr>
    <w:rPr>
      <w:rFonts w:ascii="Calibri" w:hAnsi="Calibri"/>
      <w:szCs w:val="22"/>
    </w:rPr>
  </w:style>
  <w:style w:type="paragraph" w:styleId="51">
    <w:name w:val="table of figures"/>
    <w:basedOn w:val="1"/>
    <w:next w:val="1"/>
    <w:autoRedefine/>
    <w:unhideWhenUsed/>
    <w:qFormat/>
    <w:uiPriority w:val="0"/>
    <w:pPr>
      <w:widowControl/>
      <w:ind w:left="400" w:leftChars="200" w:hanging="200" w:hangingChars="200"/>
      <w:jc w:val="left"/>
    </w:pPr>
    <w:rPr>
      <w:rFonts w:ascii="宋体" w:hAnsi="Calibri"/>
      <w:bCs/>
      <w:kern w:val="0"/>
      <w:szCs w:val="21"/>
    </w:rPr>
  </w:style>
  <w:style w:type="paragraph" w:styleId="52">
    <w:name w:val="toc 9"/>
    <w:basedOn w:val="1"/>
    <w:next w:val="1"/>
    <w:autoRedefine/>
    <w:unhideWhenUsed/>
    <w:qFormat/>
    <w:uiPriority w:val="39"/>
    <w:pPr>
      <w:ind w:left="1680"/>
      <w:jc w:val="left"/>
    </w:pPr>
    <w:rPr>
      <w:rFonts w:ascii="Calibri" w:hAnsi="Calibri" w:cs="Calibri"/>
      <w:sz w:val="18"/>
      <w:szCs w:val="18"/>
    </w:rPr>
  </w:style>
  <w:style w:type="paragraph" w:styleId="53">
    <w:name w:val="Body Text 2"/>
    <w:basedOn w:val="1"/>
    <w:link w:val="101"/>
    <w:autoRedefine/>
    <w:qFormat/>
    <w:uiPriority w:val="99"/>
    <w:pPr>
      <w:spacing w:line="440" w:lineRule="exact"/>
    </w:pPr>
    <w:rPr>
      <w:rFonts w:ascii="楷体_GB2312" w:eastAsia="楷体_GB2312"/>
      <w:sz w:val="28"/>
    </w:rPr>
  </w:style>
  <w:style w:type="paragraph" w:styleId="54">
    <w:name w:val="List Continue 2"/>
    <w:basedOn w:val="1"/>
    <w:autoRedefine/>
    <w:unhideWhenUsed/>
    <w:qFormat/>
    <w:uiPriority w:val="0"/>
    <w:pPr>
      <w:spacing w:after="120"/>
      <w:ind w:left="840" w:leftChars="400"/>
    </w:pPr>
    <w:rPr>
      <w:rFonts w:ascii="Calibri" w:hAnsi="Calibri"/>
      <w:szCs w:val="22"/>
    </w:rPr>
  </w:style>
  <w:style w:type="paragraph" w:styleId="55">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autoRedefine/>
    <w:unhideWhenUsed/>
    <w:qFormat/>
    <w:uiPriority w:val="0"/>
    <w:pPr>
      <w:ind w:left="200" w:leftChars="200"/>
    </w:pPr>
    <w:rPr>
      <w:rFonts w:ascii="Calibri" w:hAnsi="Calibri"/>
      <w:szCs w:val="22"/>
    </w:rPr>
  </w:style>
  <w:style w:type="paragraph" w:styleId="58">
    <w:name w:val="Title"/>
    <w:basedOn w:val="1"/>
    <w:link w:val="103"/>
    <w:autoRedefine/>
    <w:qFormat/>
    <w:uiPriority w:val="0"/>
    <w:pPr>
      <w:spacing w:before="240" w:after="60"/>
      <w:jc w:val="center"/>
      <w:outlineLvl w:val="0"/>
    </w:pPr>
    <w:rPr>
      <w:rFonts w:ascii="Cambria" w:hAnsi="Cambria"/>
      <w:b/>
      <w:bCs/>
      <w:sz w:val="32"/>
      <w:szCs w:val="32"/>
    </w:rPr>
  </w:style>
  <w:style w:type="paragraph" w:styleId="59">
    <w:name w:val="annotation subject"/>
    <w:basedOn w:val="20"/>
    <w:next w:val="20"/>
    <w:link w:val="104"/>
    <w:autoRedefine/>
    <w:unhideWhenUsed/>
    <w:qFormat/>
    <w:uiPriority w:val="99"/>
    <w:rPr>
      <w:b/>
      <w:bCs/>
    </w:rPr>
  </w:style>
  <w:style w:type="paragraph" w:styleId="60">
    <w:name w:val="Body Text First Indent"/>
    <w:basedOn w:val="24"/>
    <w:link w:val="75"/>
    <w:autoRedefine/>
    <w:qFormat/>
    <w:uiPriority w:val="0"/>
    <w:pPr>
      <w:ind w:firstLine="420" w:firstLineChars="100"/>
    </w:pPr>
  </w:style>
  <w:style w:type="paragraph" w:styleId="61">
    <w:name w:val="Body Text First Indent 2"/>
    <w:basedOn w:val="25"/>
    <w:link w:val="105"/>
    <w:autoRedefine/>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0"/>
    <w:rPr>
      <w:b/>
    </w:rPr>
  </w:style>
  <w:style w:type="character" w:styleId="66">
    <w:name w:val="endnote reference"/>
    <w:autoRedefine/>
    <w:unhideWhenUsed/>
    <w:qFormat/>
    <w:uiPriority w:val="0"/>
    <w:rPr>
      <w:vertAlign w:val="superscript"/>
    </w:rPr>
  </w:style>
  <w:style w:type="character" w:styleId="67">
    <w:name w:val="page number"/>
    <w:autoRedefine/>
    <w:unhideWhenUsed/>
    <w:qFormat/>
    <w:uiPriority w:val="0"/>
  </w:style>
  <w:style w:type="character" w:styleId="68">
    <w:name w:val="FollowedHyperlink"/>
    <w:autoRedefine/>
    <w:unhideWhenUsed/>
    <w:qFormat/>
    <w:uiPriority w:val="99"/>
    <w:rPr>
      <w:color w:val="954F72"/>
      <w:u w:val="single"/>
    </w:rPr>
  </w:style>
  <w:style w:type="character" w:styleId="69">
    <w:name w:val="Emphasis"/>
    <w:autoRedefine/>
    <w:qFormat/>
    <w:uiPriority w:val="0"/>
    <w:rPr>
      <w:i/>
      <w:iCs/>
    </w:rPr>
  </w:style>
  <w:style w:type="character" w:styleId="70">
    <w:name w:val="HTML Typewriter"/>
    <w:autoRedefine/>
    <w:unhideWhenUsed/>
    <w:qFormat/>
    <w:uiPriority w:val="0"/>
    <w:rPr>
      <w:rFonts w:hint="eastAsia" w:ascii="宋体" w:hAnsi="Times New Roman" w:eastAsia="宋体" w:cs="宋体"/>
      <w:sz w:val="24"/>
      <w:szCs w:val="24"/>
      <w:lang w:bidi="ar-SA"/>
    </w:rPr>
  </w:style>
  <w:style w:type="character" w:styleId="71">
    <w:name w:val="Hyperlink"/>
    <w:basedOn w:val="64"/>
    <w:autoRedefine/>
    <w:unhideWhenUsed/>
    <w:qFormat/>
    <w:uiPriority w:val="99"/>
    <w:rPr>
      <w:color w:val="0000FF"/>
      <w:u w:val="single"/>
    </w:rPr>
  </w:style>
  <w:style w:type="character" w:styleId="72">
    <w:name w:val="annotation reference"/>
    <w:autoRedefine/>
    <w:qFormat/>
    <w:uiPriority w:val="99"/>
    <w:rPr>
      <w:sz w:val="21"/>
      <w:szCs w:val="21"/>
    </w:rPr>
  </w:style>
  <w:style w:type="character" w:styleId="73">
    <w:name w:val="footnote reference"/>
    <w:autoRedefine/>
    <w:unhideWhenUsed/>
    <w:qFormat/>
    <w:uiPriority w:val="0"/>
    <w:rPr>
      <w:vertAlign w:val="superscript"/>
    </w:rPr>
  </w:style>
  <w:style w:type="character" w:customStyle="1" w:styleId="74">
    <w:name w:val="正文文本 Char"/>
    <w:link w:val="24"/>
    <w:autoRedefine/>
    <w:qFormat/>
    <w:uiPriority w:val="0"/>
    <w:rPr>
      <w:rFonts w:ascii="华文彩云" w:hAnsi="宋体" w:eastAsia="华文彩云"/>
      <w:bCs/>
      <w:color w:val="000000"/>
      <w:kern w:val="2"/>
      <w:sz w:val="28"/>
      <w:szCs w:val="24"/>
    </w:rPr>
  </w:style>
  <w:style w:type="character" w:customStyle="1" w:styleId="75">
    <w:name w:val="正文首行缩进 Char"/>
    <w:link w:val="60"/>
    <w:autoRedefine/>
    <w:qFormat/>
    <w:uiPriority w:val="0"/>
    <w:rPr>
      <w:rFonts w:ascii="华文彩云" w:hAnsi="宋体" w:eastAsia="华文彩云"/>
      <w:bCs/>
      <w:color w:val="000000"/>
      <w:kern w:val="2"/>
      <w:sz w:val="28"/>
      <w:szCs w:val="24"/>
    </w:rPr>
  </w:style>
  <w:style w:type="character" w:customStyle="1" w:styleId="76">
    <w:name w:val="标题 1 Char"/>
    <w:link w:val="2"/>
    <w:autoRedefine/>
    <w:qFormat/>
    <w:uiPriority w:val="0"/>
    <w:rPr>
      <w:rFonts w:ascii="Times New Roman" w:hAnsi="Times New Roman" w:eastAsia="宋体" w:cs="Times New Roman"/>
      <w:b/>
      <w:bCs/>
      <w:kern w:val="44"/>
      <w:sz w:val="44"/>
      <w:szCs w:val="44"/>
    </w:rPr>
  </w:style>
  <w:style w:type="character" w:customStyle="1" w:styleId="77">
    <w:name w:val="标题 2 Char"/>
    <w:link w:val="3"/>
    <w:autoRedefine/>
    <w:qFormat/>
    <w:uiPriority w:val="0"/>
    <w:rPr>
      <w:rFonts w:ascii="Cambria" w:hAnsi="Cambria" w:eastAsia="宋体" w:cs="黑体"/>
      <w:b/>
      <w:bCs/>
      <w:sz w:val="32"/>
      <w:szCs w:val="32"/>
    </w:rPr>
  </w:style>
  <w:style w:type="character" w:customStyle="1" w:styleId="78">
    <w:name w:val="标题 3 Char"/>
    <w:link w:val="4"/>
    <w:autoRedefine/>
    <w:qFormat/>
    <w:uiPriority w:val="0"/>
    <w:rPr>
      <w:rFonts w:ascii="Times New Roman" w:hAnsi="Times New Roman" w:eastAsia="宋体" w:cs="Times New Roman"/>
      <w:b/>
      <w:bCs/>
      <w:sz w:val="32"/>
      <w:szCs w:val="32"/>
    </w:rPr>
  </w:style>
  <w:style w:type="character" w:customStyle="1" w:styleId="79">
    <w:name w:val="标题 4 Char"/>
    <w:link w:val="5"/>
    <w:autoRedefine/>
    <w:qFormat/>
    <w:uiPriority w:val="0"/>
    <w:rPr>
      <w:rFonts w:ascii="Cambria" w:hAnsi="Cambria" w:eastAsia="宋体" w:cs="黑体"/>
      <w:b/>
      <w:bCs/>
      <w:sz w:val="28"/>
      <w:szCs w:val="28"/>
    </w:rPr>
  </w:style>
  <w:style w:type="character" w:customStyle="1" w:styleId="80">
    <w:name w:val="标题 5 Char"/>
    <w:link w:val="6"/>
    <w:autoRedefine/>
    <w:qFormat/>
    <w:uiPriority w:val="0"/>
    <w:rPr>
      <w:rFonts w:ascii="Times New Roman" w:hAnsi="Times New Roman" w:eastAsia="宋体" w:cs="Times New Roman"/>
      <w:b/>
      <w:bCs/>
      <w:sz w:val="28"/>
      <w:szCs w:val="28"/>
    </w:rPr>
  </w:style>
  <w:style w:type="character" w:customStyle="1" w:styleId="81">
    <w:name w:val="标题 6 Char"/>
    <w:link w:val="7"/>
    <w:autoRedefine/>
    <w:qFormat/>
    <w:uiPriority w:val="0"/>
    <w:rPr>
      <w:rFonts w:ascii="Cambria" w:hAnsi="Cambria" w:eastAsia="宋体" w:cs="黑体"/>
      <w:b/>
      <w:bCs/>
      <w:sz w:val="24"/>
      <w:szCs w:val="24"/>
    </w:rPr>
  </w:style>
  <w:style w:type="character" w:customStyle="1" w:styleId="82">
    <w:name w:val="标题 7 Char"/>
    <w:link w:val="8"/>
    <w:autoRedefine/>
    <w:qFormat/>
    <w:uiPriority w:val="0"/>
    <w:rPr>
      <w:b/>
      <w:bCs/>
      <w:kern w:val="2"/>
      <w:sz w:val="24"/>
      <w:szCs w:val="24"/>
    </w:rPr>
  </w:style>
  <w:style w:type="character" w:customStyle="1" w:styleId="83">
    <w:name w:val="标题 8 Char"/>
    <w:link w:val="9"/>
    <w:autoRedefine/>
    <w:qFormat/>
    <w:uiPriority w:val="0"/>
    <w:rPr>
      <w:b/>
      <w:kern w:val="2"/>
      <w:sz w:val="24"/>
      <w:szCs w:val="24"/>
    </w:rPr>
  </w:style>
  <w:style w:type="character" w:customStyle="1" w:styleId="84">
    <w:name w:val="标题 9 Char"/>
    <w:link w:val="10"/>
    <w:autoRedefine/>
    <w:qFormat/>
    <w:uiPriority w:val="0"/>
    <w:rPr>
      <w:rFonts w:ascii="仿宋_GB2312" w:hAnsi="Calibri" w:eastAsia="仿宋_GB2312"/>
      <w:kern w:val="2"/>
      <w:sz w:val="32"/>
      <w:szCs w:val="22"/>
    </w:rPr>
  </w:style>
  <w:style w:type="character" w:customStyle="1" w:styleId="85">
    <w:name w:val="正文缩进 Char"/>
    <w:link w:val="15"/>
    <w:autoRedefine/>
    <w:qFormat/>
    <w:locked/>
    <w:uiPriority w:val="0"/>
    <w:rPr>
      <w:szCs w:val="24"/>
    </w:rPr>
  </w:style>
  <w:style w:type="character" w:customStyle="1" w:styleId="86">
    <w:name w:val="题注 Char"/>
    <w:link w:val="16"/>
    <w:autoRedefine/>
    <w:qFormat/>
    <w:locked/>
    <w:uiPriority w:val="0"/>
    <w:rPr>
      <w:rFonts w:ascii="Arial" w:hAnsi="Arial" w:cs="Arial"/>
      <w:kern w:val="2"/>
      <w:sz w:val="24"/>
    </w:rPr>
  </w:style>
  <w:style w:type="character" w:customStyle="1" w:styleId="87">
    <w:name w:val="文档结构图 Char"/>
    <w:link w:val="19"/>
    <w:autoRedefine/>
    <w:qFormat/>
    <w:uiPriority w:val="99"/>
    <w:rPr>
      <w:kern w:val="2"/>
      <w:sz w:val="21"/>
      <w:szCs w:val="24"/>
      <w:shd w:val="clear" w:color="auto" w:fill="000080"/>
    </w:rPr>
  </w:style>
  <w:style w:type="character" w:customStyle="1" w:styleId="88">
    <w:name w:val="批注文字 Char"/>
    <w:link w:val="20"/>
    <w:autoRedefine/>
    <w:qFormat/>
    <w:uiPriority w:val="99"/>
    <w:rPr>
      <w:kern w:val="2"/>
      <w:sz w:val="21"/>
      <w:szCs w:val="24"/>
    </w:rPr>
  </w:style>
  <w:style w:type="character" w:customStyle="1" w:styleId="89">
    <w:name w:val="正文文本 3 Char"/>
    <w:link w:val="22"/>
    <w:autoRedefine/>
    <w:qFormat/>
    <w:uiPriority w:val="0"/>
    <w:rPr>
      <w:rFonts w:ascii="楷体_GB2312" w:hAnsi="Arial" w:eastAsia="楷体_GB2312" w:cs="Arial"/>
      <w:b/>
      <w:bCs/>
      <w:color w:val="000000"/>
      <w:kern w:val="2"/>
      <w:sz w:val="24"/>
      <w:szCs w:val="24"/>
    </w:rPr>
  </w:style>
  <w:style w:type="character" w:customStyle="1" w:styleId="90">
    <w:name w:val="正文文本缩进 Char"/>
    <w:link w:val="25"/>
    <w:autoRedefine/>
    <w:qFormat/>
    <w:uiPriority w:val="0"/>
    <w:rPr>
      <w:rFonts w:ascii="Times New Roman" w:hAnsi="Times New Roman" w:eastAsia="宋体" w:cs="Times New Roman"/>
      <w:szCs w:val="24"/>
    </w:rPr>
  </w:style>
  <w:style w:type="character" w:customStyle="1" w:styleId="91">
    <w:name w:val="HTML 地址 Char"/>
    <w:link w:val="28"/>
    <w:autoRedefine/>
    <w:qFormat/>
    <w:uiPriority w:val="0"/>
    <w:rPr>
      <w:rFonts w:ascii="Calibri" w:hAnsi="Calibri" w:cs="宋体"/>
      <w:i/>
      <w:iCs/>
      <w:kern w:val="2"/>
      <w:sz w:val="21"/>
      <w:szCs w:val="22"/>
    </w:rPr>
  </w:style>
  <w:style w:type="character" w:customStyle="1" w:styleId="92">
    <w:name w:val="纯文本 Char"/>
    <w:link w:val="31"/>
    <w:autoRedefine/>
    <w:qFormat/>
    <w:uiPriority w:val="0"/>
    <w:rPr>
      <w:rFonts w:ascii="宋体" w:hAnsi="Courier New"/>
      <w:kern w:val="2"/>
      <w:sz w:val="21"/>
    </w:rPr>
  </w:style>
  <w:style w:type="character" w:customStyle="1" w:styleId="93">
    <w:name w:val="日期 Char"/>
    <w:link w:val="35"/>
    <w:autoRedefine/>
    <w:qFormat/>
    <w:uiPriority w:val="0"/>
    <w:rPr>
      <w:rFonts w:ascii="仿宋_GB2312" w:hAnsi="Courier New" w:eastAsia="仿宋_GB2312"/>
      <w:kern w:val="2"/>
      <w:sz w:val="28"/>
    </w:rPr>
  </w:style>
  <w:style w:type="character" w:customStyle="1" w:styleId="94">
    <w:name w:val="正文文本缩进 2 Char"/>
    <w:link w:val="36"/>
    <w:autoRedefine/>
    <w:qFormat/>
    <w:uiPriority w:val="99"/>
    <w:rPr>
      <w:kern w:val="2"/>
      <w:sz w:val="21"/>
      <w:szCs w:val="24"/>
    </w:rPr>
  </w:style>
  <w:style w:type="character" w:customStyle="1" w:styleId="95">
    <w:name w:val="尾注文本 Char"/>
    <w:link w:val="37"/>
    <w:autoRedefine/>
    <w:qFormat/>
    <w:uiPriority w:val="0"/>
    <w:rPr>
      <w:rFonts w:ascii="宋体" w:hAnsi="Calibri"/>
      <w:bCs/>
      <w:sz w:val="21"/>
      <w:szCs w:val="21"/>
    </w:rPr>
  </w:style>
  <w:style w:type="character" w:customStyle="1" w:styleId="96">
    <w:name w:val="批注框文本 Char"/>
    <w:link w:val="38"/>
    <w:autoRedefine/>
    <w:qFormat/>
    <w:uiPriority w:val="99"/>
    <w:rPr>
      <w:rFonts w:ascii="Times New Roman" w:hAnsi="Times New Roman" w:eastAsia="宋体" w:cs="Times New Roman"/>
      <w:sz w:val="18"/>
      <w:szCs w:val="18"/>
    </w:rPr>
  </w:style>
  <w:style w:type="character" w:customStyle="1" w:styleId="97">
    <w:name w:val="页脚 Char"/>
    <w:link w:val="39"/>
    <w:autoRedefine/>
    <w:qFormat/>
    <w:uiPriority w:val="99"/>
    <w:rPr>
      <w:kern w:val="2"/>
      <w:sz w:val="18"/>
      <w:szCs w:val="18"/>
    </w:rPr>
  </w:style>
  <w:style w:type="character" w:customStyle="1" w:styleId="98">
    <w:name w:val="页眉 Char"/>
    <w:link w:val="40"/>
    <w:autoRedefine/>
    <w:qFormat/>
    <w:uiPriority w:val="99"/>
    <w:rPr>
      <w:rFonts w:ascii="Times New Roman" w:hAnsi="Times New Roman" w:eastAsia="宋体" w:cs="Times New Roman"/>
      <w:sz w:val="18"/>
      <w:szCs w:val="18"/>
    </w:rPr>
  </w:style>
  <w:style w:type="character" w:customStyle="1" w:styleId="99">
    <w:name w:val="脚注文本 Char"/>
    <w:link w:val="46"/>
    <w:autoRedefine/>
    <w:qFormat/>
    <w:uiPriority w:val="0"/>
    <w:rPr>
      <w:rFonts w:ascii="宋体" w:hAnsi="Calibri"/>
      <w:bCs/>
      <w:sz w:val="18"/>
      <w:szCs w:val="18"/>
    </w:rPr>
  </w:style>
  <w:style w:type="character" w:customStyle="1" w:styleId="100">
    <w:name w:val="正文文本缩进 3 Char"/>
    <w:link w:val="48"/>
    <w:autoRedefine/>
    <w:qFormat/>
    <w:uiPriority w:val="0"/>
    <w:rPr>
      <w:rFonts w:eastAsia="楷体_GB2312"/>
      <w:kern w:val="2"/>
      <w:sz w:val="21"/>
      <w:szCs w:val="24"/>
    </w:rPr>
  </w:style>
  <w:style w:type="character" w:customStyle="1" w:styleId="101">
    <w:name w:val="正文文本 2 Char"/>
    <w:link w:val="53"/>
    <w:autoRedefine/>
    <w:qFormat/>
    <w:uiPriority w:val="99"/>
    <w:rPr>
      <w:rFonts w:ascii="楷体_GB2312" w:eastAsia="楷体_GB2312"/>
      <w:kern w:val="2"/>
      <w:sz w:val="28"/>
      <w:szCs w:val="24"/>
    </w:rPr>
  </w:style>
  <w:style w:type="character" w:customStyle="1" w:styleId="102">
    <w:name w:val="HTML 预设格式 Char"/>
    <w:link w:val="55"/>
    <w:autoRedefine/>
    <w:qFormat/>
    <w:uiPriority w:val="0"/>
    <w:rPr>
      <w:rFonts w:ascii="Arial" w:hAnsi="Arial" w:cs="Arial"/>
      <w:sz w:val="24"/>
      <w:szCs w:val="22"/>
    </w:rPr>
  </w:style>
  <w:style w:type="character" w:customStyle="1" w:styleId="103">
    <w:name w:val="标题 Char"/>
    <w:link w:val="58"/>
    <w:autoRedefine/>
    <w:qFormat/>
    <w:uiPriority w:val="0"/>
    <w:rPr>
      <w:rFonts w:ascii="Cambria" w:hAnsi="Cambria"/>
      <w:b/>
      <w:bCs/>
      <w:kern w:val="2"/>
      <w:sz w:val="32"/>
      <w:szCs w:val="32"/>
    </w:rPr>
  </w:style>
  <w:style w:type="character" w:customStyle="1" w:styleId="104">
    <w:name w:val="批注主题 Char"/>
    <w:link w:val="59"/>
    <w:autoRedefine/>
    <w:qFormat/>
    <w:uiPriority w:val="99"/>
    <w:rPr>
      <w:b/>
      <w:bCs/>
      <w:kern w:val="2"/>
      <w:sz w:val="21"/>
      <w:szCs w:val="24"/>
    </w:rPr>
  </w:style>
  <w:style w:type="character" w:customStyle="1" w:styleId="105">
    <w:name w:val="正文首行缩进 2 Char"/>
    <w:link w:val="61"/>
    <w:autoRedefine/>
    <w:qFormat/>
    <w:uiPriority w:val="99"/>
    <w:rPr>
      <w:rFonts w:ascii="仿宋_GB2312" w:eastAsia="仿宋_GB2312"/>
      <w:color w:val="FF6600"/>
      <w:kern w:val="2"/>
      <w:sz w:val="21"/>
    </w:rPr>
  </w:style>
  <w:style w:type="character" w:customStyle="1" w:styleId="106">
    <w:name w:val="样式2 Char Char"/>
    <w:link w:val="107"/>
    <w:autoRedefine/>
    <w:qFormat/>
    <w:uiPriority w:val="0"/>
    <w:rPr>
      <w:b/>
      <w:bCs/>
      <w:kern w:val="44"/>
      <w:sz w:val="28"/>
      <w:szCs w:val="44"/>
    </w:rPr>
  </w:style>
  <w:style w:type="paragraph" w:customStyle="1" w:styleId="107">
    <w:name w:val="样式2"/>
    <w:basedOn w:val="2"/>
    <w:link w:val="106"/>
    <w:autoRedefine/>
    <w:qFormat/>
    <w:uiPriority w:val="0"/>
    <w:pPr>
      <w:adjustRightInd w:val="0"/>
      <w:snapToGrid w:val="0"/>
      <w:spacing w:line="360" w:lineRule="auto"/>
    </w:pPr>
    <w:rPr>
      <w:sz w:val="28"/>
    </w:rPr>
  </w:style>
  <w:style w:type="character" w:customStyle="1" w:styleId="108">
    <w:name w:val="param-name"/>
    <w:autoRedefine/>
    <w:qFormat/>
    <w:uiPriority w:val="0"/>
  </w:style>
  <w:style w:type="character" w:customStyle="1" w:styleId="109">
    <w:name w:val="纯文本 Char1"/>
    <w:autoRedefine/>
    <w:semiHidden/>
    <w:qFormat/>
    <w:uiPriority w:val="0"/>
    <w:rPr>
      <w:rFonts w:ascii="宋体" w:hAnsi="Courier New" w:cs="Courier New"/>
      <w:kern w:val="2"/>
      <w:sz w:val="21"/>
      <w:szCs w:val="21"/>
    </w:rPr>
  </w:style>
  <w:style w:type="character" w:customStyle="1" w:styleId="110">
    <w:name w:val="正文缩进2格 Char Char"/>
    <w:link w:val="111"/>
    <w:autoRedefine/>
    <w:qFormat/>
    <w:locked/>
    <w:uiPriority w:val="0"/>
    <w:rPr>
      <w:rFonts w:ascii="仿宋_GB2312" w:hAnsi="宋体" w:eastAsia="仿宋_GB2312"/>
      <w:sz w:val="31"/>
      <w:szCs w:val="28"/>
    </w:rPr>
  </w:style>
  <w:style w:type="paragraph" w:customStyle="1" w:styleId="111">
    <w:name w:val="正文缩进2格"/>
    <w:basedOn w:val="1"/>
    <w:link w:val="110"/>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112">
    <w:name w:val="列出段落 Char"/>
    <w:link w:val="113"/>
    <w:autoRedefine/>
    <w:qFormat/>
    <w:locked/>
    <w:uiPriority w:val="34"/>
  </w:style>
  <w:style w:type="paragraph" w:customStyle="1" w:styleId="113">
    <w:name w:val="列出段落1"/>
    <w:basedOn w:val="1"/>
    <w:link w:val="112"/>
    <w:autoRedefine/>
    <w:qFormat/>
    <w:uiPriority w:val="34"/>
    <w:pPr>
      <w:ind w:firstLine="420" w:firstLineChars="200"/>
    </w:pPr>
    <w:rPr>
      <w:rFonts w:ascii="Calibri" w:hAnsi="Calibri" w:cs="黑体"/>
      <w:szCs w:val="22"/>
    </w:rPr>
  </w:style>
  <w:style w:type="character" w:customStyle="1" w:styleId="114">
    <w:name w:val="段落正文 字符"/>
    <w:link w:val="115"/>
    <w:autoRedefine/>
    <w:qFormat/>
    <w:uiPriority w:val="0"/>
    <w:rPr>
      <w:kern w:val="2"/>
      <w:sz w:val="24"/>
      <w:szCs w:val="21"/>
    </w:rPr>
  </w:style>
  <w:style w:type="paragraph" w:customStyle="1" w:styleId="115">
    <w:name w:val="段落正文"/>
    <w:basedOn w:val="1"/>
    <w:link w:val="114"/>
    <w:autoRedefine/>
    <w:qFormat/>
    <w:uiPriority w:val="0"/>
    <w:pPr>
      <w:spacing w:line="360" w:lineRule="auto"/>
      <w:ind w:firstLine="200" w:firstLineChars="200"/>
    </w:pPr>
    <w:rPr>
      <w:sz w:val="24"/>
      <w:szCs w:val="21"/>
    </w:rPr>
  </w:style>
  <w:style w:type="character" w:customStyle="1" w:styleId="116">
    <w:name w:val="纯文本 Char Char Char Char"/>
    <w:autoRedefine/>
    <w:qFormat/>
    <w:uiPriority w:val="0"/>
    <w:rPr>
      <w:rFonts w:ascii="宋体" w:hAnsi="Courier New"/>
      <w:kern w:val="2"/>
      <w:sz w:val="21"/>
    </w:rPr>
  </w:style>
  <w:style w:type="character" w:customStyle="1" w:styleId="117">
    <w:name w:val="apple-converted-space"/>
    <w:autoRedefine/>
    <w:qFormat/>
    <w:uiPriority w:val="0"/>
  </w:style>
  <w:style w:type="character" w:customStyle="1" w:styleId="118">
    <w:name w:val="fontstyle01"/>
    <w:autoRedefine/>
    <w:qFormat/>
    <w:uiPriority w:val="0"/>
    <w:rPr>
      <w:rFonts w:hint="eastAsia" w:ascii="宋体" w:hAnsi="宋体" w:eastAsia="宋体"/>
      <w:color w:val="000000"/>
      <w:sz w:val="22"/>
      <w:szCs w:val="22"/>
    </w:rPr>
  </w:style>
  <w:style w:type="character" w:customStyle="1" w:styleId="119">
    <w:name w:val="无间隔 Char"/>
    <w:link w:val="120"/>
    <w:autoRedefine/>
    <w:qFormat/>
    <w:uiPriority w:val="1"/>
    <w:rPr>
      <w:rFonts w:ascii="Calibri" w:hAnsi="Calibri" w:eastAsia="仿宋_GB2312"/>
      <w:kern w:val="2"/>
      <w:sz w:val="28"/>
      <w:szCs w:val="22"/>
      <w:lang w:val="en-US" w:eastAsia="zh-CN" w:bidi="ar-SA"/>
    </w:rPr>
  </w:style>
  <w:style w:type="paragraph" w:styleId="120">
    <w:name w:val="No Spacing"/>
    <w:link w:val="119"/>
    <w:autoRedefine/>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1">
    <w:name w:val="标题 1 Char Char"/>
    <w:autoRedefine/>
    <w:qFormat/>
    <w:uiPriority w:val="0"/>
    <w:rPr>
      <w:rFonts w:hint="eastAsia" w:ascii="宋体" w:hAnsi="宋体" w:eastAsia="宋体"/>
      <w:b/>
      <w:spacing w:val="-2"/>
      <w:sz w:val="24"/>
      <w:lang w:val="en-US" w:eastAsia="zh-CN"/>
    </w:rPr>
  </w:style>
  <w:style w:type="character" w:customStyle="1" w:styleId="122">
    <w:name w:val="fontstyle21"/>
    <w:autoRedefine/>
    <w:qFormat/>
    <w:uiPriority w:val="0"/>
    <w:rPr>
      <w:rFonts w:hint="default" w:ascii="Calibri" w:hAnsi="Calibri" w:cs="Calibri"/>
      <w:color w:val="000000"/>
      <w:sz w:val="22"/>
      <w:szCs w:val="22"/>
    </w:rPr>
  </w:style>
  <w:style w:type="paragraph" w:customStyle="1" w:styleId="123">
    <w:name w:val="表中文字"/>
    <w:basedOn w:val="1"/>
    <w:next w:val="1"/>
    <w:autoRedefine/>
    <w:qFormat/>
    <w:uiPriority w:val="0"/>
    <w:pPr>
      <w:widowControl/>
      <w:spacing w:line="320" w:lineRule="exact"/>
      <w:jc w:val="center"/>
    </w:pPr>
    <w:rPr>
      <w:color w:val="000000"/>
      <w:szCs w:val="20"/>
    </w:rPr>
  </w:style>
  <w:style w:type="paragraph" w:customStyle="1" w:styleId="124">
    <w:name w:val="Style Normal Indent表正文正文非缩进特点ALT+Z标题4段1正文（首行缩进两字） Char正文（首行...1"/>
    <w:basedOn w:val="15"/>
    <w:autoRedefine/>
    <w:qFormat/>
    <w:uiPriority w:val="0"/>
    <w:pPr>
      <w:spacing w:line="360" w:lineRule="auto"/>
      <w:ind w:firstLine="590" w:firstLineChars="246"/>
    </w:pPr>
    <w:rPr>
      <w:sz w:val="24"/>
    </w:rPr>
  </w:style>
  <w:style w:type="paragraph" w:styleId="125">
    <w:name w:val="List Paragraph"/>
    <w:basedOn w:val="1"/>
    <w:autoRedefine/>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6">
    <w:name w:val="列出段落2"/>
    <w:basedOn w:val="1"/>
    <w:autoRedefine/>
    <w:qFormat/>
    <w:uiPriority w:val="34"/>
    <w:pPr>
      <w:ind w:firstLine="420" w:firstLineChars="200"/>
    </w:pPr>
    <w:rPr>
      <w:szCs w:val="20"/>
    </w:rPr>
  </w:style>
  <w:style w:type="paragraph" w:customStyle="1" w:styleId="127">
    <w:name w:val="正文1"/>
    <w:basedOn w:val="1"/>
    <w:autoRedefine/>
    <w:qFormat/>
    <w:uiPriority w:val="0"/>
    <w:pPr>
      <w:spacing w:line="300" w:lineRule="auto"/>
      <w:contextualSpacing/>
    </w:pPr>
    <w:rPr>
      <w:rFonts w:ascii="Arial" w:hAnsi="Arial" w:cs="Arial"/>
      <w:sz w:val="24"/>
    </w:rPr>
  </w:style>
  <w:style w:type="paragraph" w:customStyle="1" w:styleId="12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GP正文(首行缩进)"/>
    <w:basedOn w:val="1"/>
    <w:autoRedefine/>
    <w:qFormat/>
    <w:uiPriority w:val="0"/>
    <w:pPr>
      <w:spacing w:line="360" w:lineRule="auto"/>
      <w:ind w:firstLine="480" w:firstLineChars="200"/>
      <w:jc w:val="left"/>
    </w:pPr>
    <w:rPr>
      <w:rFonts w:hAnsi="宋体"/>
      <w:sz w:val="24"/>
    </w:rPr>
  </w:style>
  <w:style w:type="paragraph" w:customStyle="1" w:styleId="130">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31">
    <w:name w:val="表内容"/>
    <w:basedOn w:val="1"/>
    <w:autoRedefine/>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2">
    <w:name w:val="p0"/>
    <w:basedOn w:val="1"/>
    <w:autoRedefine/>
    <w:qFormat/>
    <w:uiPriority w:val="0"/>
    <w:pPr>
      <w:widowControl/>
    </w:pPr>
    <w:rPr>
      <w:kern w:val="0"/>
      <w:szCs w:val="21"/>
    </w:rPr>
  </w:style>
  <w:style w:type="paragraph" w:customStyle="1" w:styleId="133">
    <w:name w:val="纯文本2"/>
    <w:basedOn w:val="1"/>
    <w:autoRedefine/>
    <w:qFormat/>
    <w:uiPriority w:val="0"/>
    <w:rPr>
      <w:rFonts w:ascii="宋体" w:hAnsi="Courier New"/>
      <w:sz w:val="28"/>
    </w:rPr>
  </w:style>
  <w:style w:type="paragraph" w:customStyle="1" w:styleId="134">
    <w:name w:val="从CC出差"/>
    <w:basedOn w:val="107"/>
    <w:autoRedefine/>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5">
    <w:name w:val="样式 标题 2 + 黑色 行距: 1.5 倍行距"/>
    <w:basedOn w:val="3"/>
    <w:autoRedefine/>
    <w:qFormat/>
    <w:uiPriority w:val="99"/>
    <w:pPr>
      <w:spacing w:line="360" w:lineRule="auto"/>
      <w:ind w:firstLine="3502" w:firstLineChars="1246"/>
    </w:pPr>
    <w:rPr>
      <w:rFonts w:ascii="楷体_GB2312" w:hAnsi="宋体" w:eastAsia="楷体_GB2312" w:cs="仿宋_GB2312"/>
      <w:sz w:val="28"/>
      <w:szCs w:val="28"/>
    </w:rPr>
  </w:style>
  <w:style w:type="paragraph" w:customStyle="1" w:styleId="136">
    <w:name w:val="HU正文"/>
    <w:basedOn w:val="1"/>
    <w:autoRedefine/>
    <w:qFormat/>
    <w:uiPriority w:val="0"/>
    <w:pPr>
      <w:adjustRightInd w:val="0"/>
      <w:spacing w:line="312" w:lineRule="auto"/>
      <w:ind w:left="420" w:firstLine="420" w:firstLineChars="200"/>
      <w:textAlignment w:val="baseline"/>
    </w:pPr>
    <w:rPr>
      <w:szCs w:val="21"/>
    </w:rPr>
  </w:style>
  <w:style w:type="table" w:customStyle="1" w:styleId="137">
    <w:name w:val="网格型1"/>
    <w:basedOn w:val="62"/>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8">
    <w:name w:val="p15"/>
    <w:basedOn w:val="1"/>
    <w:autoRedefine/>
    <w:qFormat/>
    <w:uiPriority w:val="0"/>
    <w:pPr>
      <w:widowControl/>
      <w:ind w:firstLine="420"/>
    </w:pPr>
    <w:rPr>
      <w:kern w:val="0"/>
      <w:szCs w:val="20"/>
    </w:rPr>
  </w:style>
  <w:style w:type="paragraph" w:customStyle="1" w:styleId="139">
    <w:name w:val="_Style 88"/>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style91"/>
    <w:autoRedefine/>
    <w:qFormat/>
    <w:uiPriority w:val="0"/>
    <w:rPr>
      <w:color w:val="2060C0"/>
      <w:sz w:val="24"/>
      <w:szCs w:val="24"/>
    </w:rPr>
  </w:style>
  <w:style w:type="character" w:customStyle="1" w:styleId="141">
    <w:name w:val="Comment Text Char"/>
    <w:autoRedefine/>
    <w:qFormat/>
    <w:uiPriority w:val="0"/>
    <w:rPr>
      <w:rFonts w:hint="default" w:ascii="Times New Roman" w:hAnsi="Times New Roman" w:cs="Times New Roman"/>
      <w:sz w:val="21"/>
      <w:szCs w:val="21"/>
      <w:lang w:bidi="ar-SA"/>
    </w:rPr>
  </w:style>
  <w:style w:type="character" w:customStyle="1" w:styleId="142">
    <w:name w:val="ca-1"/>
    <w:autoRedefine/>
    <w:qFormat/>
    <w:uiPriority w:val="0"/>
  </w:style>
  <w:style w:type="character" w:customStyle="1" w:styleId="143">
    <w:name w:val="纯文本 Char_0"/>
    <w:link w:val="144"/>
    <w:autoRedefine/>
    <w:qFormat/>
    <w:locked/>
    <w:uiPriority w:val="0"/>
    <w:rPr>
      <w:rFonts w:ascii="宋体" w:hAnsi="Courier New"/>
      <w:kern w:val="2"/>
      <w:sz w:val="21"/>
      <w:szCs w:val="21"/>
    </w:rPr>
  </w:style>
  <w:style w:type="paragraph" w:customStyle="1" w:styleId="144">
    <w:name w:val="纯文本_0"/>
    <w:basedOn w:val="145"/>
    <w:link w:val="143"/>
    <w:autoRedefine/>
    <w:qFormat/>
    <w:uiPriority w:val="0"/>
    <w:rPr>
      <w:rFonts w:ascii="宋体" w:hAnsi="Courier New"/>
      <w:szCs w:val="21"/>
    </w:rPr>
  </w:style>
  <w:style w:type="paragraph" w:customStyle="1" w:styleId="145">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Char Char23"/>
    <w:autoRedefine/>
    <w:qFormat/>
    <w:uiPriority w:val="0"/>
    <w:rPr>
      <w:kern w:val="2"/>
      <w:sz w:val="24"/>
      <w:szCs w:val="21"/>
      <w:lang w:bidi="ar-SA"/>
    </w:rPr>
  </w:style>
  <w:style w:type="character" w:customStyle="1" w:styleId="147">
    <w:name w:val="Char Char1"/>
    <w:autoRedefine/>
    <w:qFormat/>
    <w:uiPriority w:val="0"/>
    <w:rPr>
      <w:rFonts w:hint="eastAsia" w:ascii="宋体" w:hAnsi="宋体" w:eastAsia="宋体"/>
      <w:kern w:val="2"/>
      <w:sz w:val="21"/>
      <w:lang w:val="en-US" w:eastAsia="zh-CN"/>
    </w:rPr>
  </w:style>
  <w:style w:type="character" w:customStyle="1" w:styleId="148">
    <w:name w:val="ca-31"/>
    <w:autoRedefine/>
    <w:qFormat/>
    <w:uiPriority w:val="0"/>
    <w:rPr>
      <w:rFonts w:hint="eastAsia" w:ascii="宋体" w:hAnsi="宋体" w:eastAsia="宋体"/>
      <w:color w:val="000000"/>
      <w:sz w:val="21"/>
      <w:szCs w:val="21"/>
    </w:rPr>
  </w:style>
  <w:style w:type="character" w:customStyle="1" w:styleId="149">
    <w:name w:val="wj1"/>
    <w:autoRedefine/>
    <w:qFormat/>
    <w:uiPriority w:val="0"/>
    <w:rPr>
      <w:color w:val="000000"/>
      <w:sz w:val="18"/>
      <w:szCs w:val="18"/>
      <w:u w:val="none"/>
    </w:rPr>
  </w:style>
  <w:style w:type="character" w:customStyle="1" w:styleId="150">
    <w:name w:val="Header Char"/>
    <w:autoRedefine/>
    <w:qFormat/>
    <w:uiPriority w:val="0"/>
    <w:rPr>
      <w:rFonts w:hint="eastAsia" w:ascii="宋体" w:hAnsi="宋体" w:eastAsia="宋体"/>
      <w:kern w:val="2"/>
      <w:sz w:val="18"/>
      <w:lang w:val="en-US" w:eastAsia="zh-CN"/>
    </w:rPr>
  </w:style>
  <w:style w:type="character" w:customStyle="1" w:styleId="151">
    <w:name w:val="List Paragraph Char"/>
    <w:link w:val="152"/>
    <w:autoRedefine/>
    <w:qFormat/>
    <w:locked/>
    <w:uiPriority w:val="99"/>
    <w:rPr>
      <w:rFonts w:ascii="Calibri" w:hAnsi="Calibri"/>
      <w:kern w:val="2"/>
      <w:sz w:val="21"/>
      <w:szCs w:val="22"/>
    </w:rPr>
  </w:style>
  <w:style w:type="paragraph" w:customStyle="1" w:styleId="152">
    <w:name w:val="列出段落11"/>
    <w:basedOn w:val="1"/>
    <w:link w:val="151"/>
    <w:autoRedefine/>
    <w:qFormat/>
    <w:uiPriority w:val="99"/>
    <w:pPr>
      <w:ind w:firstLine="200" w:firstLineChars="200"/>
    </w:pPr>
    <w:rPr>
      <w:rFonts w:ascii="Calibri" w:hAnsi="Calibri"/>
      <w:szCs w:val="22"/>
    </w:rPr>
  </w:style>
  <w:style w:type="character" w:customStyle="1" w:styleId="153">
    <w:name w:val="ca-41"/>
    <w:autoRedefine/>
    <w:qFormat/>
    <w:uiPriority w:val="0"/>
    <w:rPr>
      <w:rFonts w:hint="eastAsia" w:ascii="宋体" w:hAnsi="宋体" w:eastAsia="宋体"/>
      <w:b/>
      <w:bCs/>
      <w:color w:val="000000"/>
      <w:spacing w:val="-20"/>
      <w:sz w:val="21"/>
      <w:szCs w:val="21"/>
    </w:rPr>
  </w:style>
  <w:style w:type="character" w:customStyle="1" w:styleId="154">
    <w:name w:val="z12 style23"/>
    <w:autoRedefine/>
    <w:qFormat/>
    <w:uiPriority w:val="0"/>
  </w:style>
  <w:style w:type="character" w:customStyle="1" w:styleId="155">
    <w:name w:val="段 Char"/>
    <w:link w:val="156"/>
    <w:autoRedefine/>
    <w:qFormat/>
    <w:locked/>
    <w:uiPriority w:val="0"/>
    <w:rPr>
      <w:rFonts w:ascii="宋体"/>
      <w:sz w:val="21"/>
      <w:lang w:val="en-US" w:eastAsia="zh-CN" w:bidi="ar-SA"/>
    </w:rPr>
  </w:style>
  <w:style w:type="paragraph" w:customStyle="1" w:styleId="156">
    <w:name w:val="段"/>
    <w:link w:val="15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7">
    <w:name w:val="Heading 4 Char"/>
    <w:autoRedefine/>
    <w:qFormat/>
    <w:uiPriority w:val="0"/>
    <w:rPr>
      <w:rFonts w:hint="default" w:ascii="Cambria" w:hAnsi="Cambria" w:eastAsia="宋体" w:cs="Cambria"/>
      <w:b/>
      <w:bCs/>
      <w:sz w:val="28"/>
      <w:szCs w:val="28"/>
      <w:lang w:bidi="ar-SA"/>
    </w:rPr>
  </w:style>
  <w:style w:type="character" w:customStyle="1" w:styleId="158">
    <w:name w:val="Heading 2 Char"/>
    <w:autoRedefine/>
    <w:qFormat/>
    <w:uiPriority w:val="0"/>
    <w:rPr>
      <w:rFonts w:hint="default" w:ascii="Arial" w:hAnsi="Arial" w:eastAsia="黑体" w:cs="Arial"/>
      <w:b/>
      <w:bCs/>
      <w:kern w:val="2"/>
      <w:sz w:val="32"/>
      <w:szCs w:val="32"/>
      <w:lang w:val="en-US" w:eastAsia="zh-CN" w:bidi="ar-SA"/>
    </w:rPr>
  </w:style>
  <w:style w:type="character" w:customStyle="1" w:styleId="159">
    <w:name w:val="纯文本 Char_0_0"/>
    <w:link w:val="160"/>
    <w:autoRedefine/>
    <w:qFormat/>
    <w:locked/>
    <w:uiPriority w:val="0"/>
    <w:rPr>
      <w:rFonts w:ascii="宋体" w:hAnsi="Courier New"/>
      <w:szCs w:val="21"/>
    </w:rPr>
  </w:style>
  <w:style w:type="paragraph" w:customStyle="1" w:styleId="160">
    <w:name w:val="纯文本_0_0"/>
    <w:basedOn w:val="161"/>
    <w:link w:val="159"/>
    <w:autoRedefine/>
    <w:qFormat/>
    <w:uiPriority w:val="0"/>
    <w:rPr>
      <w:rFonts w:ascii="宋体" w:hAnsi="Courier New"/>
      <w:szCs w:val="21"/>
    </w:rPr>
  </w:style>
  <w:style w:type="paragraph" w:customStyle="1" w:styleId="161">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2">
    <w:name w:val="Plain Text Char"/>
    <w:autoRedefine/>
    <w:qFormat/>
    <w:locked/>
    <w:uiPriority w:val="0"/>
    <w:rPr>
      <w:rFonts w:ascii="宋体" w:hAnsi="Courier New" w:eastAsia="宋体"/>
      <w:kern w:val="2"/>
      <w:sz w:val="21"/>
      <w:lang w:val="en-US" w:eastAsia="zh-CN" w:bidi="ar-SA"/>
    </w:rPr>
  </w:style>
  <w:style w:type="character" w:customStyle="1" w:styleId="163">
    <w:name w:val="正文缩进 Char1_0"/>
    <w:link w:val="164"/>
    <w:autoRedefine/>
    <w:qFormat/>
    <w:locked/>
    <w:uiPriority w:val="0"/>
    <w:rPr>
      <w:kern w:val="2"/>
      <w:sz w:val="21"/>
      <w:szCs w:val="22"/>
    </w:rPr>
  </w:style>
  <w:style w:type="paragraph" w:customStyle="1" w:styleId="164">
    <w:name w:val="正文缩进_0"/>
    <w:basedOn w:val="145"/>
    <w:link w:val="163"/>
    <w:autoRedefine/>
    <w:qFormat/>
    <w:uiPriority w:val="0"/>
    <w:pPr>
      <w:ind w:firstLine="420" w:firstLineChars="200"/>
    </w:pPr>
    <w:rPr>
      <w:szCs w:val="22"/>
    </w:rPr>
  </w:style>
  <w:style w:type="character" w:customStyle="1" w:styleId="165">
    <w:name w:val="Char Char3"/>
    <w:autoRedefine/>
    <w:qFormat/>
    <w:uiPriority w:val="0"/>
    <w:rPr>
      <w:rFonts w:hint="default" w:ascii="Arial" w:hAnsi="Arial" w:eastAsia="黑体" w:cs="Times New Roman"/>
      <w:b/>
      <w:bCs/>
      <w:kern w:val="2"/>
      <w:sz w:val="32"/>
      <w:szCs w:val="32"/>
      <w:lang w:val="en-US" w:eastAsia="zh-CN" w:bidi="ar-SA"/>
    </w:rPr>
  </w:style>
  <w:style w:type="character" w:customStyle="1" w:styleId="166">
    <w:name w:val="Font Style29"/>
    <w:autoRedefine/>
    <w:qFormat/>
    <w:uiPriority w:val="0"/>
    <w:rPr>
      <w:rFonts w:ascii="Arial" w:hAnsi="Arial" w:cs="Arial"/>
      <w:sz w:val="14"/>
      <w:szCs w:val="14"/>
    </w:rPr>
  </w:style>
  <w:style w:type="character" w:customStyle="1" w:styleId="167">
    <w:name w:val="font21"/>
    <w:autoRedefine/>
    <w:qFormat/>
    <w:uiPriority w:val="0"/>
    <w:rPr>
      <w:rFonts w:hint="default" w:ascii="Times New Roman" w:hAnsi="Times New Roman" w:cs="Times New Roman"/>
      <w:color w:val="000000"/>
      <w:sz w:val="20"/>
      <w:u w:val="none"/>
    </w:rPr>
  </w:style>
  <w:style w:type="character" w:customStyle="1" w:styleId="168">
    <w:name w:val="Font Style36"/>
    <w:qFormat/>
    <w:uiPriority w:val="0"/>
    <w:rPr>
      <w:rFonts w:ascii="宋体" w:eastAsia="宋体" w:cs="宋体"/>
      <w:sz w:val="16"/>
      <w:szCs w:val="16"/>
    </w:rPr>
  </w:style>
  <w:style w:type="character" w:customStyle="1" w:styleId="169">
    <w:name w:val="maywed421"/>
    <w:qFormat/>
    <w:uiPriority w:val="0"/>
    <w:rPr>
      <w:color w:val="366FB6"/>
      <w:u w:val="none"/>
    </w:rPr>
  </w:style>
  <w:style w:type="character" w:customStyle="1" w:styleId="170">
    <w:name w:val="ca-01"/>
    <w:qFormat/>
    <w:uiPriority w:val="0"/>
    <w:rPr>
      <w:rFonts w:hint="eastAsia" w:ascii="宋体" w:hAnsi="宋体" w:eastAsia="宋体"/>
      <w:b/>
      <w:bCs/>
      <w:spacing w:val="-20"/>
      <w:sz w:val="24"/>
      <w:szCs w:val="24"/>
    </w:rPr>
  </w:style>
  <w:style w:type="character" w:customStyle="1" w:styleId="171">
    <w:name w:val="正文文本 Char1"/>
    <w:qFormat/>
    <w:uiPriority w:val="0"/>
    <w:rPr>
      <w:rFonts w:ascii="华文彩云" w:hAnsi="宋体" w:eastAsia="华文彩云"/>
      <w:bCs/>
      <w:color w:val="000000"/>
      <w:kern w:val="2"/>
      <w:sz w:val="28"/>
      <w:szCs w:val="24"/>
    </w:rPr>
  </w:style>
  <w:style w:type="character" w:customStyle="1" w:styleId="172">
    <w:name w:val="正文（编号） Char Char"/>
    <w:link w:val="173"/>
    <w:qFormat/>
    <w:locked/>
    <w:uiPriority w:val="0"/>
    <w:rPr>
      <w:kern w:val="2"/>
      <w:sz w:val="24"/>
      <w:szCs w:val="24"/>
    </w:rPr>
  </w:style>
  <w:style w:type="paragraph" w:customStyle="1" w:styleId="173">
    <w:name w:val="正文（编号）"/>
    <w:basedOn w:val="174"/>
    <w:link w:val="172"/>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4">
    <w:name w:val="正文（缩进）"/>
    <w:basedOn w:val="1"/>
    <w:autoRedefine/>
    <w:qFormat/>
    <w:uiPriority w:val="0"/>
    <w:pPr>
      <w:spacing w:beforeLines="50" w:afterLines="50" w:line="360" w:lineRule="auto"/>
      <w:ind w:firstLine="200" w:firstLineChars="200"/>
    </w:pPr>
    <w:rPr>
      <w:rFonts w:ascii="Calibri" w:hAnsi="Calibri"/>
      <w:sz w:val="24"/>
      <w:szCs w:val="22"/>
    </w:rPr>
  </w:style>
  <w:style w:type="character" w:customStyle="1" w:styleId="175">
    <w:name w:val="正文（缩进） Char Char"/>
    <w:qFormat/>
    <w:uiPriority w:val="0"/>
    <w:rPr>
      <w:rFonts w:hint="eastAsia" w:ascii="宋体" w:hAnsi="宋体" w:eastAsia="宋体"/>
      <w:kern w:val="2"/>
      <w:sz w:val="24"/>
      <w:szCs w:val="24"/>
      <w:lang w:val="en-US" w:eastAsia="zh-CN" w:bidi="ar-SA"/>
    </w:rPr>
  </w:style>
  <w:style w:type="character" w:customStyle="1" w:styleId="176">
    <w:name w:val="Footer Char"/>
    <w:autoRedefine/>
    <w:qFormat/>
    <w:uiPriority w:val="0"/>
    <w:rPr>
      <w:rFonts w:hint="eastAsia" w:ascii="宋体" w:hAnsi="宋体" w:eastAsia="宋体"/>
      <w:kern w:val="2"/>
      <w:sz w:val="18"/>
      <w:lang w:val="en-US" w:eastAsia="zh-CN"/>
    </w:rPr>
  </w:style>
  <w:style w:type="character" w:customStyle="1" w:styleId="177">
    <w:name w:val="批注文字 Char2"/>
    <w:qFormat/>
    <w:uiPriority w:val="0"/>
    <w:rPr>
      <w:kern w:val="2"/>
      <w:sz w:val="21"/>
      <w:szCs w:val="24"/>
    </w:rPr>
  </w:style>
  <w:style w:type="character" w:customStyle="1" w:styleId="178">
    <w:name w:val="纯文本 Char_1"/>
    <w:link w:val="179"/>
    <w:qFormat/>
    <w:locked/>
    <w:uiPriority w:val="0"/>
    <w:rPr>
      <w:rFonts w:ascii="Calibri" w:hAnsi="Calibri"/>
      <w:kern w:val="2"/>
      <w:sz w:val="21"/>
      <w:szCs w:val="22"/>
    </w:rPr>
  </w:style>
  <w:style w:type="paragraph" w:customStyle="1" w:styleId="179">
    <w:name w:val="纯文本_1"/>
    <w:basedOn w:val="1"/>
    <w:link w:val="178"/>
    <w:autoRedefine/>
    <w:qFormat/>
    <w:uiPriority w:val="0"/>
    <w:rPr>
      <w:rFonts w:ascii="Calibri" w:hAnsi="Calibri"/>
      <w:szCs w:val="22"/>
    </w:rPr>
  </w:style>
  <w:style w:type="character" w:customStyle="1" w:styleId="180">
    <w:name w:val="Char Char"/>
    <w:qFormat/>
    <w:uiPriority w:val="0"/>
    <w:rPr>
      <w:rFonts w:hint="eastAsia" w:ascii="宋体" w:hAnsi="宋体" w:eastAsia="宋体"/>
      <w:kern w:val="2"/>
      <w:sz w:val="18"/>
      <w:lang w:val="en-US" w:eastAsia="zh-CN"/>
    </w:rPr>
  </w:style>
  <w:style w:type="character" w:customStyle="1" w:styleId="181">
    <w:name w:val="Plain Text Char1"/>
    <w:qFormat/>
    <w:uiPriority w:val="0"/>
    <w:rPr>
      <w:rFonts w:hint="eastAsia" w:ascii="宋体" w:hAnsi="宋体" w:eastAsia="宋体"/>
      <w:kern w:val="2"/>
      <w:sz w:val="21"/>
      <w:szCs w:val="21"/>
      <w:lang w:val="en-US" w:eastAsia="zh-CN" w:bidi="ar-SA"/>
    </w:rPr>
  </w:style>
  <w:style w:type="character" w:customStyle="1" w:styleId="182">
    <w:name w:val="ca-51"/>
    <w:qFormat/>
    <w:uiPriority w:val="0"/>
    <w:rPr>
      <w:rFonts w:hint="eastAsia" w:ascii="楷体_GB2312" w:eastAsia="楷体_GB2312"/>
      <w:b/>
      <w:bCs/>
      <w:spacing w:val="-20"/>
      <w:sz w:val="24"/>
      <w:szCs w:val="24"/>
    </w:rPr>
  </w:style>
  <w:style w:type="character" w:customStyle="1" w:styleId="183">
    <w:name w:val="正文文本_"/>
    <w:link w:val="184"/>
    <w:qFormat/>
    <w:locked/>
    <w:uiPriority w:val="99"/>
    <w:rPr>
      <w:rFonts w:ascii="宋体" w:hAnsi="宋体"/>
      <w:sz w:val="22"/>
      <w:lang w:val="zh-CN"/>
    </w:rPr>
  </w:style>
  <w:style w:type="paragraph" w:customStyle="1" w:styleId="184">
    <w:name w:val="正文文本1"/>
    <w:basedOn w:val="1"/>
    <w:link w:val="183"/>
    <w:qFormat/>
    <w:uiPriority w:val="99"/>
    <w:pPr>
      <w:spacing w:line="432" w:lineRule="auto"/>
      <w:jc w:val="left"/>
    </w:pPr>
    <w:rPr>
      <w:rFonts w:ascii="宋体" w:hAnsi="宋体"/>
      <w:kern w:val="0"/>
      <w:sz w:val="22"/>
      <w:szCs w:val="20"/>
      <w:lang w:val="zh-CN"/>
    </w:rPr>
  </w:style>
  <w:style w:type="character" w:customStyle="1" w:styleId="185">
    <w:name w:val="Heading 3 Char"/>
    <w:autoRedefine/>
    <w:qFormat/>
    <w:uiPriority w:val="0"/>
    <w:rPr>
      <w:rFonts w:hint="default" w:ascii="Times New Roman" w:hAnsi="Times New Roman" w:cs="Times New Roman"/>
      <w:b/>
      <w:bCs/>
      <w:sz w:val="32"/>
      <w:szCs w:val="32"/>
      <w:lang w:bidi="ar-SA"/>
    </w:rPr>
  </w:style>
  <w:style w:type="character" w:customStyle="1" w:styleId="186">
    <w:name w:val="ca-11"/>
    <w:autoRedefine/>
    <w:qFormat/>
    <w:uiPriority w:val="0"/>
    <w:rPr>
      <w:rFonts w:hint="eastAsia" w:ascii="宋体" w:hAnsi="宋体" w:eastAsia="宋体"/>
      <w:b/>
      <w:bCs/>
      <w:color w:val="000000"/>
      <w:spacing w:val="-20"/>
      <w:sz w:val="28"/>
      <w:szCs w:val="28"/>
    </w:rPr>
  </w:style>
  <w:style w:type="character" w:customStyle="1" w:styleId="187">
    <w:name w:val="z1"/>
    <w:autoRedefine/>
    <w:qFormat/>
    <w:uiPriority w:val="0"/>
  </w:style>
  <w:style w:type="character" w:customStyle="1" w:styleId="188">
    <w:name w:val="正文（标记） Char2"/>
    <w:link w:val="189"/>
    <w:autoRedefine/>
    <w:qFormat/>
    <w:locked/>
    <w:uiPriority w:val="0"/>
    <w:rPr>
      <w:kern w:val="2"/>
      <w:sz w:val="24"/>
      <w:szCs w:val="24"/>
    </w:rPr>
  </w:style>
  <w:style w:type="paragraph" w:customStyle="1" w:styleId="189">
    <w:name w:val="正文（标记）"/>
    <w:basedOn w:val="1"/>
    <w:link w:val="188"/>
    <w:autoRedefine/>
    <w:qFormat/>
    <w:uiPriority w:val="0"/>
    <w:pPr>
      <w:tabs>
        <w:tab w:val="left" w:pos="0"/>
        <w:tab w:val="left" w:pos="840"/>
      </w:tabs>
      <w:spacing w:beforeLines="50" w:afterLines="50"/>
    </w:pPr>
    <w:rPr>
      <w:sz w:val="24"/>
    </w:rPr>
  </w:style>
  <w:style w:type="character" w:customStyle="1" w:styleId="190">
    <w:name w:val="Header Char1"/>
    <w:autoRedefine/>
    <w:qFormat/>
    <w:uiPriority w:val="0"/>
    <w:rPr>
      <w:rFonts w:hint="default" w:ascii="Times New Roman" w:hAnsi="Times New Roman" w:cs="Times New Roman"/>
      <w:sz w:val="18"/>
      <w:szCs w:val="18"/>
      <w:lang w:bidi="ar-SA"/>
    </w:rPr>
  </w:style>
  <w:style w:type="character" w:customStyle="1" w:styleId="191">
    <w:name w:val="Font Style37"/>
    <w:autoRedefine/>
    <w:qFormat/>
    <w:uiPriority w:val="0"/>
    <w:rPr>
      <w:rFonts w:ascii="Arial" w:hAnsi="Arial" w:cs="Arial"/>
      <w:sz w:val="16"/>
      <w:szCs w:val="16"/>
    </w:rPr>
  </w:style>
  <w:style w:type="character" w:customStyle="1" w:styleId="192">
    <w:name w:val="Char Char2"/>
    <w:autoRedefine/>
    <w:qFormat/>
    <w:uiPriority w:val="0"/>
    <w:rPr>
      <w:kern w:val="2"/>
      <w:sz w:val="18"/>
      <w:szCs w:val="18"/>
    </w:rPr>
  </w:style>
  <w:style w:type="character" w:customStyle="1" w:styleId="193">
    <w:name w:val="Font Style28"/>
    <w:autoRedefine/>
    <w:qFormat/>
    <w:uiPriority w:val="0"/>
    <w:rPr>
      <w:rFonts w:ascii="Constantia" w:hAnsi="Constantia" w:cs="Constantia"/>
      <w:sz w:val="28"/>
      <w:szCs w:val="28"/>
    </w:rPr>
  </w:style>
  <w:style w:type="character" w:customStyle="1" w:styleId="194">
    <w:name w:val="style15"/>
    <w:autoRedefine/>
    <w:qFormat/>
    <w:uiPriority w:val="0"/>
  </w:style>
  <w:style w:type="character" w:customStyle="1" w:styleId="195">
    <w:name w:val="+正文 Char3"/>
    <w:link w:val="196"/>
    <w:autoRedefine/>
    <w:qFormat/>
    <w:uiPriority w:val="0"/>
    <w:rPr>
      <w:rFonts w:ascii="Calibri" w:hAnsi="Calibri"/>
      <w:kern w:val="2"/>
      <w:sz w:val="24"/>
      <w:szCs w:val="28"/>
    </w:rPr>
  </w:style>
  <w:style w:type="paragraph" w:customStyle="1" w:styleId="196">
    <w:name w:val="+正文"/>
    <w:basedOn w:val="1"/>
    <w:link w:val="195"/>
    <w:autoRedefine/>
    <w:qFormat/>
    <w:uiPriority w:val="0"/>
    <w:pPr>
      <w:spacing w:line="360" w:lineRule="auto"/>
      <w:ind w:firstLine="200" w:firstLineChars="200"/>
    </w:pPr>
    <w:rPr>
      <w:rFonts w:ascii="Calibri" w:hAnsi="Calibri"/>
      <w:sz w:val="24"/>
      <w:szCs w:val="28"/>
    </w:rPr>
  </w:style>
  <w:style w:type="character" w:customStyle="1" w:styleId="197">
    <w:name w:val="Footer Char1"/>
    <w:autoRedefine/>
    <w:qFormat/>
    <w:uiPriority w:val="0"/>
    <w:rPr>
      <w:rFonts w:hint="default" w:ascii="Times New Roman" w:hAnsi="Times New Roman" w:cs="Times New Roman"/>
      <w:sz w:val="18"/>
      <w:szCs w:val="18"/>
      <w:lang w:bidi="ar-SA"/>
    </w:rPr>
  </w:style>
  <w:style w:type="character" w:customStyle="1" w:styleId="198">
    <w:name w:val="Font Style30"/>
    <w:autoRedefine/>
    <w:qFormat/>
    <w:uiPriority w:val="0"/>
    <w:rPr>
      <w:rFonts w:ascii="宋体" w:eastAsia="宋体" w:cs="宋体"/>
      <w:sz w:val="14"/>
      <w:szCs w:val="14"/>
    </w:rPr>
  </w:style>
  <w:style w:type="character" w:customStyle="1" w:styleId="199">
    <w:name w:val="ca-21"/>
    <w:autoRedefine/>
    <w:qFormat/>
    <w:uiPriority w:val="0"/>
    <w:rPr>
      <w:rFonts w:hint="eastAsia" w:ascii="宋体" w:hAnsi="宋体" w:eastAsia="宋体"/>
      <w:sz w:val="21"/>
    </w:rPr>
  </w:style>
  <w:style w:type="character" w:customStyle="1" w:styleId="200">
    <w:name w:val="超链接_0"/>
    <w:autoRedefine/>
    <w:qFormat/>
    <w:uiPriority w:val="99"/>
    <w:rPr>
      <w:rFonts w:hint="default" w:ascii="Calibri" w:hAnsi="Calibri"/>
      <w:color w:val="0000FF"/>
      <w:u w:val="single"/>
    </w:rPr>
  </w:style>
  <w:style w:type="character" w:customStyle="1" w:styleId="201">
    <w:name w:val="marklong"/>
    <w:autoRedefine/>
    <w:qFormat/>
    <w:uiPriority w:val="0"/>
  </w:style>
  <w:style w:type="character" w:customStyle="1" w:styleId="202">
    <w:name w:val="style161"/>
    <w:autoRedefine/>
    <w:qFormat/>
    <w:uiPriority w:val="0"/>
    <w:rPr>
      <w:rFonts w:hint="default" w:ascii="Verdana" w:hAnsi="Verdana" w:eastAsia="宋体"/>
      <w:b/>
      <w:color w:val="0A246A"/>
      <w:sz w:val="24"/>
      <w:szCs w:val="24"/>
      <w:lang w:val="en-US" w:eastAsia="zh-CN" w:bidi="ar-SA"/>
    </w:rPr>
  </w:style>
  <w:style w:type="character" w:customStyle="1" w:styleId="203">
    <w:name w:val="其他_"/>
    <w:link w:val="204"/>
    <w:autoRedefine/>
    <w:qFormat/>
    <w:locked/>
    <w:uiPriority w:val="99"/>
    <w:rPr>
      <w:rFonts w:ascii="宋体" w:hAnsi="宋体"/>
      <w:sz w:val="22"/>
      <w:lang w:val="zh-CN"/>
    </w:rPr>
  </w:style>
  <w:style w:type="paragraph" w:customStyle="1" w:styleId="204">
    <w:name w:val="其他"/>
    <w:basedOn w:val="1"/>
    <w:link w:val="203"/>
    <w:autoRedefine/>
    <w:qFormat/>
    <w:uiPriority w:val="99"/>
    <w:pPr>
      <w:spacing w:line="432" w:lineRule="auto"/>
      <w:jc w:val="left"/>
    </w:pPr>
    <w:rPr>
      <w:rFonts w:ascii="宋体" w:hAnsi="宋体"/>
      <w:kern w:val="0"/>
      <w:sz w:val="22"/>
      <w:szCs w:val="20"/>
      <w:lang w:val="zh-CN"/>
    </w:rPr>
  </w:style>
  <w:style w:type="character" w:customStyle="1" w:styleId="205">
    <w:name w:val="question-title"/>
    <w:autoRedefine/>
    <w:qFormat/>
    <w:uiPriority w:val="0"/>
  </w:style>
  <w:style w:type="character" w:customStyle="1" w:styleId="206">
    <w:name w:val="标题 2 Char Char Char"/>
    <w:autoRedefine/>
    <w:qFormat/>
    <w:uiPriority w:val="0"/>
    <w:rPr>
      <w:rFonts w:hint="default" w:ascii="Arial" w:hAnsi="Arial" w:eastAsia="宋体" w:cs="Arial"/>
      <w:b/>
      <w:bCs/>
      <w:i/>
      <w:iCs/>
      <w:sz w:val="28"/>
      <w:szCs w:val="28"/>
      <w:lang w:val="en-US" w:eastAsia="zh-CN" w:bidi="ar-SA"/>
    </w:rPr>
  </w:style>
  <w:style w:type="character" w:customStyle="1" w:styleId="207">
    <w:name w:val="段落 Char"/>
    <w:autoRedefine/>
    <w:qFormat/>
    <w:uiPriority w:val="0"/>
    <w:rPr>
      <w:rFonts w:hint="eastAsia" w:ascii="仿宋_GB2312" w:eastAsia="仿宋_GB2312"/>
      <w:kern w:val="2"/>
      <w:sz w:val="24"/>
      <w:szCs w:val="24"/>
      <w:lang w:val="en-US" w:eastAsia="zh-CN" w:bidi="ar-SA"/>
    </w:rPr>
  </w:style>
  <w:style w:type="paragraph" w:customStyle="1" w:styleId="208">
    <w:name w:val="pa-4"/>
    <w:basedOn w:val="1"/>
    <w:qFormat/>
    <w:uiPriority w:val="0"/>
    <w:pPr>
      <w:widowControl/>
      <w:spacing w:line="280" w:lineRule="atLeast"/>
      <w:jc w:val="center"/>
    </w:pPr>
    <w:rPr>
      <w:rFonts w:ascii="宋体" w:hAnsi="Calibri" w:cs="宋体"/>
      <w:kern w:val="0"/>
      <w:sz w:val="24"/>
      <w:szCs w:val="22"/>
    </w:rPr>
  </w:style>
  <w:style w:type="paragraph" w:customStyle="1" w:styleId="209">
    <w:name w:val="_Style 56"/>
    <w:basedOn w:val="19"/>
    <w:autoRedefine/>
    <w:qFormat/>
    <w:uiPriority w:val="0"/>
    <w:pPr>
      <w:spacing w:line="436" w:lineRule="exact"/>
    </w:pPr>
    <w:rPr>
      <w:szCs w:val="20"/>
    </w:rPr>
  </w:style>
  <w:style w:type="paragraph" w:customStyle="1" w:styleId="210">
    <w:name w:val="Normal_20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11">
    <w:name w:val="Char Char Char Char Char Char Char1 Char"/>
    <w:basedOn w:val="1"/>
    <w:autoRedefine/>
    <w:qFormat/>
    <w:uiPriority w:val="0"/>
    <w:rPr>
      <w:rFonts w:ascii="Tahoma" w:hAnsi="Tahoma"/>
      <w:sz w:val="24"/>
      <w:szCs w:val="20"/>
    </w:rPr>
  </w:style>
  <w:style w:type="paragraph" w:customStyle="1" w:styleId="212">
    <w:name w:val="三级条标题"/>
    <w:basedOn w:val="213"/>
    <w:next w:val="156"/>
    <w:autoRedefine/>
    <w:qFormat/>
    <w:uiPriority w:val="0"/>
    <w:pPr>
      <w:ind w:left="1050"/>
      <w:outlineLvl w:val="4"/>
    </w:pPr>
  </w:style>
  <w:style w:type="paragraph" w:customStyle="1" w:styleId="213">
    <w:name w:val="二级条标题"/>
    <w:basedOn w:val="214"/>
    <w:next w:val="156"/>
    <w:autoRedefine/>
    <w:qFormat/>
    <w:uiPriority w:val="0"/>
    <w:pPr>
      <w:ind w:left="360"/>
      <w:outlineLvl w:val="3"/>
    </w:pPr>
  </w:style>
  <w:style w:type="paragraph" w:customStyle="1" w:styleId="214">
    <w:name w:val="一级条标题"/>
    <w:next w:val="156"/>
    <w:autoRedefine/>
    <w:qFormat/>
    <w:uiPriority w:val="0"/>
    <w:pPr>
      <w:outlineLvl w:val="2"/>
    </w:pPr>
    <w:rPr>
      <w:rFonts w:ascii="Times New Roman" w:hAnsi="Times New Roman" w:eastAsia="黑体" w:cs="Times New Roman"/>
      <w:sz w:val="21"/>
      <w:lang w:val="en-US" w:eastAsia="zh-CN" w:bidi="ar-SA"/>
    </w:rPr>
  </w:style>
  <w:style w:type="paragraph" w:customStyle="1" w:styleId="21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6">
    <w:name w:val="HTML 地址 Char1"/>
    <w:autoRedefine/>
    <w:semiHidden/>
    <w:qFormat/>
    <w:uiPriority w:val="0"/>
    <w:rPr>
      <w:i/>
      <w:iCs/>
      <w:kern w:val="2"/>
      <w:sz w:val="21"/>
      <w:szCs w:val="24"/>
    </w:rPr>
  </w:style>
  <w:style w:type="paragraph" w:customStyle="1" w:styleId="217">
    <w:name w:val="技术方案正文"/>
    <w:basedOn w:val="1"/>
    <w:autoRedefine/>
    <w:qFormat/>
    <w:uiPriority w:val="0"/>
    <w:pPr>
      <w:spacing w:line="360" w:lineRule="auto"/>
      <w:ind w:firstLine="480"/>
    </w:pPr>
    <w:rPr>
      <w:rFonts w:ascii="宋体" w:hAnsi="Calibri"/>
      <w:sz w:val="24"/>
      <w:szCs w:val="22"/>
    </w:rPr>
  </w:style>
  <w:style w:type="paragraph" w:customStyle="1" w:styleId="218">
    <w:name w:val="序号-----------"/>
    <w:basedOn w:val="1"/>
    <w:autoRedefine/>
    <w:qFormat/>
    <w:uiPriority w:val="0"/>
    <w:pPr>
      <w:widowControl/>
      <w:jc w:val="left"/>
    </w:pPr>
    <w:rPr>
      <w:rFonts w:ascii="宋体" w:hAnsi="Calibri"/>
      <w:bCs/>
      <w:kern w:val="0"/>
      <w:szCs w:val="21"/>
    </w:rPr>
  </w:style>
  <w:style w:type="paragraph" w:customStyle="1" w:styleId="219">
    <w:name w:val="Normal_6"/>
    <w:autoRedefine/>
    <w:qFormat/>
    <w:uiPriority w:val="0"/>
    <w:rPr>
      <w:rFonts w:ascii="黑体" w:hAnsi="黑体" w:eastAsia="黑体" w:cs="Times New Roman"/>
      <w:b/>
      <w:sz w:val="32"/>
      <w:szCs w:val="24"/>
      <w:lang w:val="en-US" w:eastAsia="zh-CN" w:bidi="ar-SA"/>
    </w:rPr>
  </w:style>
  <w:style w:type="character" w:customStyle="1" w:styleId="220">
    <w:name w:val="脚注文本 Char1"/>
    <w:autoRedefine/>
    <w:semiHidden/>
    <w:qFormat/>
    <w:uiPriority w:val="0"/>
    <w:rPr>
      <w:kern w:val="2"/>
      <w:sz w:val="18"/>
      <w:szCs w:val="18"/>
    </w:rPr>
  </w:style>
  <w:style w:type="paragraph" w:customStyle="1" w:styleId="221">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xl39"/>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3">
    <w:name w:val="正文文本缩进 2 Char1"/>
    <w:autoRedefine/>
    <w:semiHidden/>
    <w:qFormat/>
    <w:uiPriority w:val="0"/>
    <w:rPr>
      <w:kern w:val="2"/>
      <w:sz w:val="21"/>
      <w:szCs w:val="24"/>
    </w:rPr>
  </w:style>
  <w:style w:type="paragraph" w:customStyle="1" w:styleId="224">
    <w:name w:val="Normal_0_3"/>
    <w:autoRedefine/>
    <w:qFormat/>
    <w:uiPriority w:val="0"/>
    <w:rPr>
      <w:rFonts w:ascii="黑体" w:hAnsi="黑体" w:eastAsia="黑体" w:cs="Times New Roman"/>
      <w:b/>
      <w:sz w:val="32"/>
      <w:szCs w:val="24"/>
      <w:lang w:val="en-US" w:eastAsia="zh-CN" w:bidi="ar-SA"/>
    </w:rPr>
  </w:style>
  <w:style w:type="paragraph" w:customStyle="1" w:styleId="225">
    <w:name w:val="正文_7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227">
    <w:name w:val="Char"/>
    <w:basedOn w:val="1"/>
    <w:autoRedefine/>
    <w:qFormat/>
    <w:uiPriority w:val="0"/>
    <w:pPr>
      <w:tabs>
        <w:tab w:val="left" w:pos="360"/>
      </w:tabs>
    </w:pPr>
    <w:rPr>
      <w:sz w:val="24"/>
    </w:rPr>
  </w:style>
  <w:style w:type="paragraph" w:customStyle="1" w:styleId="228">
    <w:name w:val="正文_9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样式1"/>
    <w:basedOn w:val="1"/>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0">
    <w:name w:val="Normal_11_0"/>
    <w:autoRedefine/>
    <w:qFormat/>
    <w:uiPriority w:val="0"/>
    <w:rPr>
      <w:rFonts w:ascii="黑体" w:hAnsi="黑体" w:eastAsia="黑体" w:cs="Times New Roman"/>
      <w:b/>
      <w:sz w:val="32"/>
      <w:szCs w:val="24"/>
      <w:lang w:val="en-US" w:eastAsia="zh-CN" w:bidi="ar-SA"/>
    </w:rPr>
  </w:style>
  <w:style w:type="paragraph" w:customStyle="1" w:styleId="231">
    <w:name w:val="Char Char Char"/>
    <w:basedOn w:val="1"/>
    <w:autoRedefine/>
    <w:qFormat/>
    <w:uiPriority w:val="0"/>
    <w:rPr>
      <w:rFonts w:ascii="Calibri" w:hAnsi="Calibri"/>
      <w:szCs w:val="21"/>
    </w:rPr>
  </w:style>
  <w:style w:type="paragraph" w:customStyle="1" w:styleId="232">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Normal_0_1"/>
    <w:autoRedefine/>
    <w:qFormat/>
    <w:uiPriority w:val="0"/>
    <w:rPr>
      <w:rFonts w:ascii="黑体" w:hAnsi="黑体" w:eastAsia="黑体" w:cs="Times New Roman"/>
      <w:b/>
      <w:sz w:val="32"/>
      <w:szCs w:val="24"/>
      <w:lang w:val="en-US" w:eastAsia="zh-CN" w:bidi="ar-SA"/>
    </w:rPr>
  </w:style>
  <w:style w:type="character" w:customStyle="1" w:styleId="234">
    <w:name w:val="标题 Char1"/>
    <w:autoRedefine/>
    <w:qFormat/>
    <w:uiPriority w:val="10"/>
    <w:rPr>
      <w:rFonts w:ascii="Cambria" w:hAnsi="Cambria" w:cs="Times New Roman"/>
      <w:b/>
      <w:bCs/>
      <w:kern w:val="2"/>
      <w:sz w:val="32"/>
      <w:szCs w:val="32"/>
    </w:rPr>
  </w:style>
  <w:style w:type="paragraph" w:customStyle="1" w:styleId="235">
    <w:name w:val="默认段落字体 Para Char Char Char Char Char Char Char Char Char1"/>
    <w:basedOn w:val="1"/>
    <w:autoRedefine/>
    <w:qFormat/>
    <w:uiPriority w:val="0"/>
    <w:rPr>
      <w:rFonts w:ascii="Tahoma" w:hAnsi="Tahoma"/>
      <w:sz w:val="24"/>
      <w:szCs w:val="20"/>
    </w:rPr>
  </w:style>
  <w:style w:type="paragraph" w:customStyle="1" w:styleId="236">
    <w:name w:val="正文_2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38">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样式 正文2 + 首行缩进:  0 厘米 段后: 1.5 行"/>
    <w:basedOn w:val="1"/>
    <w:autoRedefine/>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0">
    <w:name w:val="表格样式居中"/>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1">
    <w:name w:val="正文首行缩进 2 Char1"/>
    <w:autoRedefine/>
    <w:semiHidden/>
    <w:qFormat/>
    <w:uiPriority w:val="0"/>
    <w:rPr>
      <w:rFonts w:ascii="Times New Roman" w:hAnsi="Times New Roman" w:eastAsia="宋体" w:cs="Times New Roman"/>
      <w:kern w:val="2"/>
      <w:sz w:val="21"/>
      <w:szCs w:val="24"/>
    </w:rPr>
  </w:style>
  <w:style w:type="character" w:customStyle="1" w:styleId="242">
    <w:name w:val="正文文本 2 Char1"/>
    <w:autoRedefine/>
    <w:semiHidden/>
    <w:qFormat/>
    <w:uiPriority w:val="0"/>
    <w:rPr>
      <w:kern w:val="2"/>
      <w:sz w:val="21"/>
      <w:szCs w:val="24"/>
    </w:rPr>
  </w:style>
  <w:style w:type="paragraph" w:customStyle="1" w:styleId="243">
    <w:name w:val="Normal_13_0"/>
    <w:autoRedefine/>
    <w:qFormat/>
    <w:uiPriority w:val="0"/>
    <w:rPr>
      <w:rFonts w:ascii="黑体" w:hAnsi="黑体" w:eastAsia="黑体" w:cs="Times New Roman"/>
      <w:b/>
      <w:sz w:val="32"/>
      <w:szCs w:val="24"/>
      <w:lang w:val="en-US" w:eastAsia="zh-CN" w:bidi="ar-SA"/>
    </w:rPr>
  </w:style>
  <w:style w:type="paragraph" w:customStyle="1" w:styleId="244">
    <w:name w:val="xl31"/>
    <w:basedOn w:val="1"/>
    <w:autoRedefine/>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5">
    <w:name w:val="xl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6">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7">
    <w:name w:val="pa-2"/>
    <w:basedOn w:val="1"/>
    <w:autoRedefine/>
    <w:qFormat/>
    <w:uiPriority w:val="0"/>
    <w:pPr>
      <w:widowControl/>
      <w:spacing w:line="360" w:lineRule="atLeast"/>
    </w:pPr>
    <w:rPr>
      <w:rFonts w:ascii="宋体" w:hAnsi="Calibri" w:cs="宋体"/>
      <w:kern w:val="0"/>
      <w:sz w:val="24"/>
      <w:szCs w:val="22"/>
    </w:rPr>
  </w:style>
  <w:style w:type="paragraph" w:customStyle="1" w:styleId="248">
    <w:name w:val="Normal_20"/>
    <w:autoRedefine/>
    <w:qFormat/>
    <w:uiPriority w:val="0"/>
    <w:rPr>
      <w:rFonts w:ascii="黑体" w:hAnsi="黑体" w:eastAsia="黑体" w:cs="Times New Roman"/>
      <w:b/>
      <w:sz w:val="32"/>
      <w:szCs w:val="24"/>
      <w:lang w:val="en-US" w:eastAsia="zh-CN" w:bidi="ar-SA"/>
    </w:rPr>
  </w:style>
  <w:style w:type="paragraph" w:customStyle="1" w:styleId="249">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0">
    <w:name w:val="正文（首行缩进）"/>
    <w:basedOn w:val="1"/>
    <w:autoRedefine/>
    <w:qFormat/>
    <w:uiPriority w:val="0"/>
    <w:pPr>
      <w:widowControl/>
      <w:spacing w:before="120" w:line="360" w:lineRule="auto"/>
      <w:ind w:firstLine="482"/>
    </w:pPr>
    <w:rPr>
      <w:rFonts w:ascii="Calibri" w:hAnsi="Calibri"/>
      <w:sz w:val="24"/>
      <w:szCs w:val="20"/>
    </w:rPr>
  </w:style>
  <w:style w:type="character" w:customStyle="1" w:styleId="251">
    <w:name w:val="HTML 预设格式 Char1"/>
    <w:autoRedefine/>
    <w:semiHidden/>
    <w:qFormat/>
    <w:uiPriority w:val="0"/>
    <w:rPr>
      <w:rFonts w:ascii="Courier New" w:hAnsi="Courier New" w:cs="Courier New"/>
      <w:kern w:val="2"/>
    </w:rPr>
  </w:style>
  <w:style w:type="paragraph" w:customStyle="1" w:styleId="252">
    <w:name w:val="篇名"/>
    <w:next w:val="2"/>
    <w:autoRedefine/>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3">
    <w:name w:val="英文音标"/>
    <w:autoRedefine/>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4">
    <w:name w:val="尾注文本 Char1"/>
    <w:autoRedefine/>
    <w:semiHidden/>
    <w:qFormat/>
    <w:uiPriority w:val="0"/>
    <w:rPr>
      <w:kern w:val="2"/>
      <w:sz w:val="21"/>
      <w:szCs w:val="24"/>
    </w:rPr>
  </w:style>
  <w:style w:type="paragraph" w:customStyle="1" w:styleId="255">
    <w:name w:val="Normal_17"/>
    <w:autoRedefine/>
    <w:qFormat/>
    <w:uiPriority w:val="0"/>
    <w:rPr>
      <w:rFonts w:ascii="黑体" w:hAnsi="黑体" w:eastAsia="黑体" w:cs="Times New Roman"/>
      <w:b/>
      <w:sz w:val="32"/>
      <w:szCs w:val="24"/>
      <w:lang w:val="en-US" w:eastAsia="zh-CN" w:bidi="ar-SA"/>
    </w:rPr>
  </w:style>
  <w:style w:type="paragraph" w:customStyle="1" w:styleId="256">
    <w:name w:val="font8"/>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7">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58">
    <w:name w:val="正文文本 3 Char1"/>
    <w:autoRedefine/>
    <w:semiHidden/>
    <w:qFormat/>
    <w:uiPriority w:val="0"/>
    <w:rPr>
      <w:kern w:val="2"/>
      <w:sz w:val="16"/>
      <w:szCs w:val="16"/>
    </w:rPr>
  </w:style>
  <w:style w:type="paragraph" w:customStyle="1" w:styleId="2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Char111"/>
    <w:basedOn w:val="1"/>
    <w:autoRedefine/>
    <w:qFormat/>
    <w:uiPriority w:val="0"/>
    <w:pPr>
      <w:tabs>
        <w:tab w:val="left" w:pos="420"/>
      </w:tabs>
      <w:ind w:left="420" w:hanging="420" w:firstLineChars="200"/>
      <w:jc w:val="left"/>
    </w:pPr>
    <w:rPr>
      <w:szCs w:val="20"/>
    </w:rPr>
  </w:style>
  <w:style w:type="paragraph" w:customStyle="1" w:styleId="261">
    <w:name w:val="正文_11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2">
    <w:name w:val="正文文本缩进 3 Char1"/>
    <w:autoRedefine/>
    <w:semiHidden/>
    <w:qFormat/>
    <w:uiPriority w:val="0"/>
    <w:rPr>
      <w:kern w:val="2"/>
      <w:sz w:val="16"/>
      <w:szCs w:val="16"/>
    </w:rPr>
  </w:style>
  <w:style w:type="paragraph" w:customStyle="1" w:styleId="263">
    <w:name w:val="font9"/>
    <w:basedOn w:val="1"/>
    <w:autoRedefine/>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4">
    <w:name w:val="无间隔1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pa-9"/>
    <w:basedOn w:val="1"/>
    <w:autoRedefine/>
    <w:qFormat/>
    <w:uiPriority w:val="0"/>
    <w:pPr>
      <w:widowControl/>
      <w:spacing w:line="360" w:lineRule="atLeast"/>
      <w:jc w:val="center"/>
    </w:pPr>
    <w:rPr>
      <w:rFonts w:ascii="宋体" w:hAnsi="Calibri" w:cs="宋体"/>
      <w:kern w:val="0"/>
      <w:sz w:val="24"/>
      <w:szCs w:val="22"/>
    </w:rPr>
  </w:style>
  <w:style w:type="paragraph" w:customStyle="1" w:styleId="266">
    <w:name w:val="pa-6"/>
    <w:basedOn w:val="1"/>
    <w:autoRedefine/>
    <w:qFormat/>
    <w:uiPriority w:val="0"/>
    <w:pPr>
      <w:widowControl/>
      <w:spacing w:line="360" w:lineRule="atLeast"/>
    </w:pPr>
    <w:rPr>
      <w:rFonts w:ascii="宋体" w:hAnsi="Calibri"/>
      <w:kern w:val="0"/>
      <w:sz w:val="24"/>
      <w:szCs w:val="20"/>
    </w:rPr>
  </w:style>
  <w:style w:type="character" w:customStyle="1" w:styleId="267">
    <w:name w:val="文档结构图 Char1"/>
    <w:autoRedefine/>
    <w:semiHidden/>
    <w:qFormat/>
    <w:uiPriority w:val="0"/>
    <w:rPr>
      <w:rFonts w:ascii="宋体"/>
      <w:kern w:val="2"/>
      <w:sz w:val="18"/>
      <w:szCs w:val="18"/>
    </w:rPr>
  </w:style>
  <w:style w:type="paragraph" w:customStyle="1" w:styleId="268">
    <w:name w:val="Normal_12"/>
    <w:autoRedefine/>
    <w:qFormat/>
    <w:uiPriority w:val="0"/>
    <w:rPr>
      <w:rFonts w:ascii="黑体" w:hAnsi="黑体" w:eastAsia="黑体" w:cs="Times New Roman"/>
      <w:b/>
      <w:sz w:val="32"/>
      <w:szCs w:val="24"/>
      <w:lang w:val="en-US" w:eastAsia="zh-CN" w:bidi="ar-SA"/>
    </w:rPr>
  </w:style>
  <w:style w:type="paragraph" w:customStyle="1" w:styleId="269">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0">
    <w:name w:val="样式3"/>
    <w:basedOn w:val="4"/>
    <w:autoRedefine/>
    <w:qFormat/>
    <w:uiPriority w:val="0"/>
    <w:pPr>
      <w:spacing w:line="412" w:lineRule="auto"/>
    </w:pPr>
    <w:rPr>
      <w:rFonts w:ascii="Calibri" w:hAnsi="Calibri"/>
      <w:kern w:val="2"/>
      <w:sz w:val="28"/>
      <w:szCs w:val="28"/>
    </w:rPr>
  </w:style>
  <w:style w:type="paragraph" w:customStyle="1" w:styleId="271">
    <w:name w:val="pa-0"/>
    <w:basedOn w:val="1"/>
    <w:autoRedefine/>
    <w:qFormat/>
    <w:uiPriority w:val="0"/>
    <w:pPr>
      <w:widowControl/>
      <w:spacing w:line="360" w:lineRule="atLeast"/>
      <w:ind w:firstLine="480"/>
    </w:pPr>
    <w:rPr>
      <w:rFonts w:ascii="宋体" w:hAnsi="Calibri" w:cs="宋体"/>
      <w:kern w:val="0"/>
      <w:sz w:val="24"/>
      <w:szCs w:val="22"/>
    </w:rPr>
  </w:style>
  <w:style w:type="paragraph" w:customStyle="1" w:styleId="272">
    <w:name w:val="Char Char1 Char Char Char Char Char Char"/>
    <w:basedOn w:val="1"/>
    <w:autoRedefine/>
    <w:qFormat/>
    <w:uiPriority w:val="0"/>
    <w:pPr>
      <w:widowControl/>
      <w:jc w:val="center"/>
    </w:pPr>
    <w:rPr>
      <w:rFonts w:ascii="宋体" w:hAnsi="宋体"/>
      <w:b/>
      <w:kern w:val="0"/>
      <w:sz w:val="24"/>
      <w:lang w:eastAsia="en-US"/>
    </w:rPr>
  </w:style>
  <w:style w:type="paragraph" w:customStyle="1" w:styleId="273">
    <w:name w:val="默认段落字体 Para Char"/>
    <w:basedOn w:val="1"/>
    <w:autoRedefine/>
    <w:qFormat/>
    <w:uiPriority w:val="0"/>
    <w:rPr>
      <w:rFonts w:ascii="宋体" w:hAnsi="Calibri"/>
      <w:b/>
      <w:sz w:val="28"/>
      <w:szCs w:val="28"/>
    </w:rPr>
  </w:style>
  <w:style w:type="paragraph" w:customStyle="1" w:styleId="274">
    <w:name w:val="编号2"/>
    <w:autoRedefine/>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5">
    <w:name w:val="ibm-list-ne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76">
    <w:name w:val="Normal_4"/>
    <w:autoRedefine/>
    <w:qFormat/>
    <w:uiPriority w:val="0"/>
    <w:rPr>
      <w:rFonts w:ascii="黑体" w:hAnsi="黑体" w:eastAsia="黑体" w:cs="Times New Roman"/>
      <w:b/>
      <w:sz w:val="32"/>
      <w:szCs w:val="24"/>
      <w:lang w:val="en-US" w:eastAsia="zh-CN" w:bidi="ar-SA"/>
    </w:rPr>
  </w:style>
  <w:style w:type="paragraph" w:customStyle="1" w:styleId="277">
    <w:name w:val="正文（黑体）"/>
    <w:basedOn w:val="1"/>
    <w:next w:val="1"/>
    <w:autoRedefine/>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78">
    <w:name w:val="样式 序号----------- + 仿宋_GB2312"/>
    <w:basedOn w:val="218"/>
    <w:autoRedefine/>
    <w:qFormat/>
    <w:uiPriority w:val="0"/>
    <w:pPr>
      <w:spacing w:line="360" w:lineRule="auto"/>
      <w:ind w:firstLine="200" w:firstLineChars="200"/>
    </w:pPr>
    <w:rPr>
      <w:rFonts w:ascii="仿宋_GB2312" w:eastAsia="仿宋_GB2312"/>
      <w:bCs w:val="0"/>
    </w:rPr>
  </w:style>
  <w:style w:type="paragraph" w:customStyle="1" w:styleId="279">
    <w:name w:val="文档正文"/>
    <w:basedOn w:val="1"/>
    <w:autoRedefine/>
    <w:qFormat/>
    <w:uiPriority w:val="0"/>
    <w:pPr>
      <w:adjustRightInd w:val="0"/>
      <w:spacing w:line="480" w:lineRule="atLeast"/>
      <w:ind w:firstLine="567"/>
      <w:textAlignment w:val="baseline"/>
    </w:pPr>
    <w:rPr>
      <w:rFonts w:ascii="仿宋_GB2312"/>
      <w:kern w:val="0"/>
      <w:szCs w:val="20"/>
    </w:rPr>
  </w:style>
  <w:style w:type="paragraph" w:customStyle="1" w:styleId="280">
    <w:name w:val="标题2"/>
    <w:basedOn w:val="1"/>
    <w:autoRedefine/>
    <w:qFormat/>
    <w:uiPriority w:val="0"/>
    <w:pPr>
      <w:tabs>
        <w:tab w:val="left" w:pos="0"/>
      </w:tabs>
    </w:pPr>
    <w:rPr>
      <w:rFonts w:ascii="黑体" w:hAnsi="Calibri" w:eastAsia="黑体"/>
      <w:sz w:val="24"/>
      <w:szCs w:val="22"/>
    </w:rPr>
  </w:style>
  <w:style w:type="paragraph" w:customStyle="1" w:styleId="281">
    <w:name w:val="Normal_13"/>
    <w:autoRedefine/>
    <w:qFormat/>
    <w:uiPriority w:val="0"/>
    <w:rPr>
      <w:rFonts w:ascii="黑体" w:hAnsi="黑体" w:eastAsia="黑体" w:cs="Times New Roman"/>
      <w:b/>
      <w:sz w:val="32"/>
      <w:szCs w:val="24"/>
      <w:lang w:val="en-US" w:eastAsia="zh-CN" w:bidi="ar-SA"/>
    </w:rPr>
  </w:style>
  <w:style w:type="paragraph" w:customStyle="1" w:styleId="282">
    <w:name w:val="前言、引言标题"/>
    <w:next w:val="1"/>
    <w:autoRedefine/>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3">
    <w:name w:val="pa-8"/>
    <w:basedOn w:val="1"/>
    <w:autoRedefine/>
    <w:qFormat/>
    <w:uiPriority w:val="0"/>
    <w:pPr>
      <w:widowControl/>
      <w:spacing w:line="280" w:lineRule="atLeast"/>
      <w:ind w:firstLine="480"/>
    </w:pPr>
    <w:rPr>
      <w:rFonts w:ascii="宋体" w:hAnsi="Calibri" w:cs="宋体"/>
      <w:kern w:val="0"/>
      <w:sz w:val="24"/>
      <w:szCs w:val="22"/>
    </w:rPr>
  </w:style>
  <w:style w:type="paragraph" w:customStyle="1" w:styleId="284">
    <w:name w:val="正文_7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四级条标题"/>
    <w:basedOn w:val="212"/>
    <w:next w:val="156"/>
    <w:autoRedefine/>
    <w:qFormat/>
    <w:uiPriority w:val="0"/>
    <w:pPr>
      <w:ind w:left="0"/>
      <w:outlineLvl w:val="5"/>
    </w:pPr>
  </w:style>
  <w:style w:type="paragraph" w:customStyle="1" w:styleId="286">
    <w:name w:val="t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87">
    <w:name w:val="正文 + 宋体"/>
    <w:basedOn w:val="1"/>
    <w:autoRedefine/>
    <w:qFormat/>
    <w:uiPriority w:val="0"/>
    <w:pPr>
      <w:ind w:firstLine="250" w:firstLineChars="250"/>
    </w:pPr>
    <w:rPr>
      <w:rFonts w:ascii="宋体" w:hAnsi="Calibri"/>
      <w:szCs w:val="21"/>
    </w:rPr>
  </w:style>
  <w:style w:type="paragraph" w:customStyle="1" w:styleId="288">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9">
    <w:name w:val="特点"/>
    <w:basedOn w:val="1"/>
    <w:next w:val="1"/>
    <w:autoRedefine/>
    <w:qFormat/>
    <w:uiPriority w:val="0"/>
    <w:pPr>
      <w:spacing w:line="360" w:lineRule="auto"/>
      <w:jc w:val="center"/>
    </w:pPr>
    <w:rPr>
      <w:rFonts w:ascii="Arial" w:hAnsi="Arial"/>
      <w:sz w:val="24"/>
      <w:szCs w:val="20"/>
    </w:rPr>
  </w:style>
  <w:style w:type="paragraph" w:customStyle="1" w:styleId="290">
    <w:name w:val="Normal_0_0"/>
    <w:autoRedefine/>
    <w:qFormat/>
    <w:uiPriority w:val="0"/>
    <w:rPr>
      <w:rFonts w:ascii="黑体" w:hAnsi="黑体" w:eastAsia="黑体" w:cs="Times New Roman"/>
      <w:b/>
      <w:sz w:val="40"/>
      <w:szCs w:val="24"/>
      <w:lang w:val="en-US" w:eastAsia="zh-CN" w:bidi="ar-SA"/>
    </w:rPr>
  </w:style>
  <w:style w:type="paragraph" w:customStyle="1" w:styleId="291">
    <w:name w:val="Normal Paragraph Char"/>
    <w:basedOn w:val="1"/>
    <w:autoRedefine/>
    <w:qFormat/>
    <w:uiPriority w:val="0"/>
    <w:pPr>
      <w:widowControl/>
      <w:spacing w:before="120" w:line="360" w:lineRule="auto"/>
      <w:ind w:firstLine="425"/>
    </w:pPr>
    <w:rPr>
      <w:rFonts w:ascii="Calibri" w:hAnsi="Calibri"/>
      <w:kern w:val="0"/>
      <w:sz w:val="24"/>
      <w:szCs w:val="22"/>
    </w:rPr>
  </w:style>
  <w:style w:type="paragraph" w:customStyle="1" w:styleId="292">
    <w:name w:val="Char12"/>
    <w:basedOn w:val="1"/>
    <w:autoRedefine/>
    <w:qFormat/>
    <w:uiPriority w:val="0"/>
    <w:pPr>
      <w:tabs>
        <w:tab w:val="left" w:pos="360"/>
      </w:tabs>
      <w:spacing w:line="480" w:lineRule="auto"/>
      <w:ind w:left="360" w:right="202" w:firstLine="360"/>
    </w:pPr>
    <w:rPr>
      <w:rFonts w:ascii="Calibri" w:hAnsi="Calibri"/>
      <w:sz w:val="24"/>
      <w:szCs w:val="22"/>
    </w:rPr>
  </w:style>
  <w:style w:type="paragraph" w:customStyle="1" w:styleId="293">
    <w:name w:val="五级条标题"/>
    <w:basedOn w:val="285"/>
    <w:next w:val="156"/>
    <w:autoRedefine/>
    <w:qFormat/>
    <w:uiPriority w:val="0"/>
    <w:pPr>
      <w:outlineLvl w:val="6"/>
    </w:pPr>
  </w:style>
  <w:style w:type="paragraph" w:customStyle="1" w:styleId="294">
    <w:name w:val="Normal_15"/>
    <w:autoRedefine/>
    <w:qFormat/>
    <w:uiPriority w:val="0"/>
    <w:rPr>
      <w:rFonts w:ascii="黑体" w:hAnsi="黑体" w:eastAsia="黑体" w:cs="Times New Roman"/>
      <w:b/>
      <w:sz w:val="32"/>
      <w:szCs w:val="24"/>
      <w:lang w:val="en-US" w:eastAsia="zh-CN" w:bidi="ar-SA"/>
    </w:rPr>
  </w:style>
  <w:style w:type="paragraph" w:customStyle="1" w:styleId="295">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正文_4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7">
    <w:name w:val="Char Char1 Char Char Char Char Char Char Char Char"/>
    <w:basedOn w:val="1"/>
    <w:autoRedefine/>
    <w:qFormat/>
    <w:uiPriority w:val="0"/>
    <w:pPr>
      <w:widowControl/>
      <w:spacing w:after="160" w:line="240" w:lineRule="exact"/>
      <w:jc w:val="left"/>
    </w:pPr>
    <w:rPr>
      <w:rFonts w:ascii="Calibri" w:hAnsi="Calibri"/>
      <w:szCs w:val="22"/>
    </w:rPr>
  </w:style>
  <w:style w:type="paragraph" w:customStyle="1" w:styleId="298">
    <w:name w:val="Normal_16"/>
    <w:autoRedefine/>
    <w:qFormat/>
    <w:uiPriority w:val="0"/>
    <w:rPr>
      <w:rFonts w:ascii="黑体" w:hAnsi="黑体" w:eastAsia="黑体" w:cs="Times New Roman"/>
      <w:b/>
      <w:sz w:val="32"/>
      <w:szCs w:val="24"/>
      <w:lang w:val="en-US" w:eastAsia="zh-CN" w:bidi="ar-SA"/>
    </w:rPr>
  </w:style>
  <w:style w:type="paragraph" w:customStyle="1" w:styleId="299">
    <w:name w:val="Char Char Char Char1"/>
    <w:basedOn w:val="1"/>
    <w:autoRedefine/>
    <w:qFormat/>
    <w:uiPriority w:val="0"/>
    <w:pPr>
      <w:spacing w:line="360" w:lineRule="auto"/>
      <w:ind w:firstLine="200" w:firstLineChars="200"/>
    </w:pPr>
    <w:rPr>
      <w:rFonts w:ascii="Calibri" w:hAnsi="Calibri"/>
      <w:kern w:val="0"/>
      <w:sz w:val="24"/>
      <w:szCs w:val="20"/>
    </w:rPr>
  </w:style>
  <w:style w:type="paragraph" w:customStyle="1" w:styleId="30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Normal_23"/>
    <w:autoRedefine/>
    <w:qFormat/>
    <w:uiPriority w:val="0"/>
    <w:rPr>
      <w:rFonts w:ascii="黑体" w:hAnsi="黑体" w:eastAsia="黑体" w:cs="Times New Roman"/>
      <w:b/>
      <w:sz w:val="32"/>
      <w:szCs w:val="24"/>
      <w:lang w:val="en-US" w:eastAsia="zh-CN" w:bidi="ar-SA"/>
    </w:rPr>
  </w:style>
  <w:style w:type="paragraph" w:customStyle="1" w:styleId="302">
    <w:name w:val="Normal_3"/>
    <w:autoRedefine/>
    <w:qFormat/>
    <w:uiPriority w:val="0"/>
    <w:rPr>
      <w:rFonts w:ascii="黑体" w:hAnsi="黑体" w:eastAsia="黑体" w:cs="Times New Roman"/>
      <w:b/>
      <w:sz w:val="32"/>
      <w:szCs w:val="24"/>
      <w:lang w:val="en-US" w:eastAsia="zh-CN" w:bidi="ar-SA"/>
    </w:rPr>
  </w:style>
  <w:style w:type="paragraph" w:customStyle="1" w:styleId="303">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4">
    <w:name w:val="font7"/>
    <w:basedOn w:val="1"/>
    <w:autoRedefine/>
    <w:qFormat/>
    <w:uiPriority w:val="0"/>
    <w:pPr>
      <w:widowControl/>
      <w:spacing w:before="100" w:beforeAutospacing="1" w:after="100" w:afterAutospacing="1"/>
      <w:jc w:val="left"/>
    </w:pPr>
    <w:rPr>
      <w:rFonts w:ascii="宋体" w:hAnsi="Calibri"/>
      <w:kern w:val="0"/>
      <w:sz w:val="20"/>
      <w:szCs w:val="20"/>
    </w:rPr>
  </w:style>
  <w:style w:type="paragraph" w:customStyle="1" w:styleId="305">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正文_6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7">
    <w:name w:val="列出段落[858D7CFB-ED40-4347-BF05-701D383B685F][858D7CFB-ED40-4347-BF05-701D383B685F]"/>
    <w:basedOn w:val="1"/>
    <w:autoRedefine/>
    <w:qFormat/>
    <w:uiPriority w:val="0"/>
    <w:pPr>
      <w:ind w:firstLine="200" w:firstLineChars="200"/>
    </w:pPr>
    <w:rPr>
      <w:rFonts w:ascii="Calibri" w:hAnsi="Calibri"/>
      <w:szCs w:val="22"/>
    </w:rPr>
  </w:style>
  <w:style w:type="paragraph" w:customStyle="1" w:styleId="308">
    <w:name w:val="正文段"/>
    <w:basedOn w:val="1"/>
    <w:autoRedefine/>
    <w:qFormat/>
    <w:uiPriority w:val="0"/>
    <w:pPr>
      <w:widowControl/>
      <w:snapToGrid w:val="0"/>
      <w:spacing w:after="240" w:line="240" w:lineRule="atLeast"/>
      <w:ind w:firstLine="425"/>
    </w:pPr>
    <w:rPr>
      <w:rFonts w:ascii="Calibri" w:hAnsi="Calibri"/>
      <w:kern w:val="0"/>
      <w:sz w:val="24"/>
      <w:szCs w:val="20"/>
    </w:rPr>
  </w:style>
  <w:style w:type="paragraph" w:customStyle="1" w:styleId="309">
    <w:name w:val="首页标题小初"/>
    <w:autoRedefine/>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0">
    <w:name w:val="无标题正文 Char Char Char Char Char Char Char Char Char Char Char Char Char Char Char Char Char Char Char Char Char Char Char Char Char Char Char1 Char"/>
    <w:basedOn w:val="1"/>
    <w:autoRedefine/>
    <w:qFormat/>
    <w:uiPriority w:val="0"/>
    <w:pPr>
      <w:widowControl/>
      <w:spacing w:after="160" w:line="240" w:lineRule="exact"/>
      <w:jc w:val="center"/>
    </w:pPr>
    <w:rPr>
      <w:rFonts w:ascii="Arial" w:hAnsi="Arial"/>
      <w:kern w:val="0"/>
      <w:sz w:val="20"/>
      <w:szCs w:val="20"/>
      <w:lang w:eastAsia="en-US"/>
    </w:rPr>
  </w:style>
  <w:style w:type="paragraph" w:customStyle="1" w:styleId="311">
    <w:name w:val="默认段落字体 Para Char Char Char Char Char"/>
    <w:basedOn w:val="1"/>
    <w:autoRedefine/>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2">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313">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315">
    <w:name w:val="Normal_17_0"/>
    <w:autoRedefine/>
    <w:qFormat/>
    <w:uiPriority w:val="0"/>
    <w:rPr>
      <w:rFonts w:ascii="黑体" w:hAnsi="黑体" w:eastAsia="黑体" w:cs="Times New Roman"/>
      <w:b/>
      <w:sz w:val="32"/>
      <w:szCs w:val="24"/>
      <w:lang w:val="en-US" w:eastAsia="zh-CN" w:bidi="ar-SA"/>
    </w:rPr>
  </w:style>
  <w:style w:type="paragraph" w:customStyle="1" w:styleId="316">
    <w:name w:val="正文文字缩进 3"/>
    <w:basedOn w:val="1"/>
    <w:autoRedefine/>
    <w:qFormat/>
    <w:uiPriority w:val="0"/>
    <w:pPr>
      <w:spacing w:line="312" w:lineRule="auto"/>
      <w:ind w:left="420" w:firstLine="420"/>
    </w:pPr>
    <w:rPr>
      <w:rFonts w:ascii="黑体" w:hAnsi="黑体" w:cs="宋体"/>
      <w:bCs/>
      <w:color w:val="000000"/>
      <w:kern w:val="0"/>
      <w:sz w:val="24"/>
      <w:szCs w:val="22"/>
    </w:rPr>
  </w:style>
  <w:style w:type="paragraph" w:customStyle="1" w:styleId="317">
    <w:name w:val="Normal_14"/>
    <w:autoRedefine/>
    <w:qFormat/>
    <w:uiPriority w:val="0"/>
    <w:rPr>
      <w:rFonts w:ascii="黑体" w:hAnsi="黑体" w:eastAsia="黑体" w:cs="Times New Roman"/>
      <w:b/>
      <w:sz w:val="32"/>
      <w:szCs w:val="24"/>
      <w:lang w:val="en-US" w:eastAsia="zh-CN" w:bidi="ar-SA"/>
    </w:rPr>
  </w:style>
  <w:style w:type="paragraph" w:customStyle="1" w:styleId="318">
    <w:name w:val="font6"/>
    <w:basedOn w:val="1"/>
    <w:autoRedefine/>
    <w:qFormat/>
    <w:uiPriority w:val="0"/>
    <w:pPr>
      <w:widowControl/>
      <w:spacing w:before="100" w:beforeAutospacing="1" w:after="100" w:afterAutospacing="1"/>
      <w:jc w:val="left"/>
    </w:pPr>
    <w:rPr>
      <w:rFonts w:ascii="Calibri" w:hAnsi="Calibri"/>
      <w:kern w:val="0"/>
      <w:sz w:val="20"/>
      <w:szCs w:val="20"/>
    </w:rPr>
  </w:style>
  <w:style w:type="paragraph" w:customStyle="1" w:styleId="319">
    <w:name w:val="默认段落字体 Para Char Char Char Char Char Char Char Char Char1 Char Char Char Char Char Char Char Char"/>
    <w:basedOn w:val="19"/>
    <w:autoRedefine/>
    <w:qFormat/>
    <w:uiPriority w:val="0"/>
    <w:rPr>
      <w:rFonts w:ascii="Calibri" w:hAnsi="Calibri"/>
      <w:szCs w:val="22"/>
    </w:rPr>
  </w:style>
  <w:style w:type="paragraph" w:customStyle="1" w:styleId="320">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2">
    <w:name w:val="样式 序号----------- + 仿宋_GB23121"/>
    <w:basedOn w:val="218"/>
    <w:autoRedefine/>
    <w:qFormat/>
    <w:uiPriority w:val="0"/>
    <w:pPr>
      <w:spacing w:line="360" w:lineRule="auto"/>
    </w:pPr>
    <w:rPr>
      <w:rFonts w:ascii="仿宋_GB2312" w:eastAsia="仿宋_GB2312"/>
      <w:bCs w:val="0"/>
    </w:rPr>
  </w:style>
  <w:style w:type="paragraph" w:customStyle="1" w:styleId="323">
    <w:name w:val="Normal_18"/>
    <w:autoRedefine/>
    <w:qFormat/>
    <w:uiPriority w:val="0"/>
    <w:rPr>
      <w:rFonts w:ascii="黑体" w:hAnsi="黑体" w:eastAsia="黑体" w:cs="Times New Roman"/>
      <w:b/>
      <w:sz w:val="32"/>
      <w:szCs w:val="24"/>
      <w:lang w:val="en-US" w:eastAsia="zh-CN" w:bidi="ar-SA"/>
    </w:rPr>
  </w:style>
  <w:style w:type="paragraph" w:customStyle="1" w:styleId="324">
    <w:name w:val="正文_1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首页单位日期"/>
    <w:basedOn w:val="1"/>
    <w:autoRedefine/>
    <w:qFormat/>
    <w:uiPriority w:val="0"/>
    <w:pPr>
      <w:widowControl/>
      <w:adjustRightInd w:val="0"/>
      <w:snapToGrid w:val="0"/>
      <w:jc w:val="center"/>
    </w:pPr>
    <w:rPr>
      <w:rFonts w:ascii="宋体" w:hAnsi="Calibri" w:cs="宋体"/>
      <w:bCs/>
      <w:kern w:val="0"/>
      <w:sz w:val="28"/>
      <w:szCs w:val="20"/>
    </w:rPr>
  </w:style>
  <w:style w:type="paragraph" w:customStyle="1" w:styleId="326">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7">
    <w:name w:val="标题1"/>
    <w:basedOn w:val="2"/>
    <w:next w:val="1"/>
    <w:autoRedefine/>
    <w:qFormat/>
    <w:uiPriority w:val="0"/>
    <w:pPr>
      <w:adjustRightInd w:val="0"/>
      <w:spacing w:line="578" w:lineRule="atLeast"/>
      <w:jc w:val="left"/>
      <w:textAlignment w:val="baseline"/>
    </w:pPr>
  </w:style>
  <w:style w:type="paragraph" w:customStyle="1" w:styleId="328">
    <w:name w:val="样式6"/>
    <w:basedOn w:val="229"/>
    <w:autoRedefine/>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29">
    <w:name w:val="要点标题"/>
    <w:basedOn w:val="1"/>
    <w:autoRedefine/>
    <w:qFormat/>
    <w:uiPriority w:val="0"/>
    <w:pPr>
      <w:numPr>
        <w:ilvl w:val="0"/>
        <w:numId w:val="2"/>
      </w:numPr>
      <w:tabs>
        <w:tab w:val="left" w:pos="420"/>
      </w:tabs>
      <w:jc w:val="left"/>
    </w:pPr>
    <w:rPr>
      <w:rFonts w:ascii="宋体" w:hAnsi="宋体"/>
      <w:b/>
      <w:sz w:val="24"/>
    </w:rPr>
  </w:style>
  <w:style w:type="paragraph" w:customStyle="1" w:styleId="330">
    <w:name w:val="正文_1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1">
    <w:name w:val="说明书3级标题"/>
    <w:basedOn w:val="1"/>
    <w:next w:val="1"/>
    <w:autoRedefine/>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2">
    <w:name w:val="附图标题"/>
    <w:basedOn w:val="16"/>
    <w:next w:val="15"/>
    <w:autoRedefine/>
    <w:qFormat/>
    <w:uiPriority w:val="0"/>
    <w:pPr>
      <w:tabs>
        <w:tab w:val="left" w:pos="780"/>
      </w:tabs>
      <w:spacing w:beforeLines="0" w:afterLines="100"/>
      <w:ind w:left="780" w:hanging="480"/>
    </w:pPr>
    <w:rPr>
      <w:rFonts w:eastAsia="黑体"/>
      <w:b/>
      <w:sz w:val="21"/>
    </w:rPr>
  </w:style>
  <w:style w:type="paragraph" w:customStyle="1" w:styleId="333">
    <w:name w:val="pa-5"/>
    <w:basedOn w:val="1"/>
    <w:autoRedefine/>
    <w:qFormat/>
    <w:uiPriority w:val="0"/>
    <w:pPr>
      <w:widowControl/>
      <w:spacing w:line="280" w:lineRule="atLeast"/>
    </w:pPr>
    <w:rPr>
      <w:rFonts w:ascii="宋体" w:hAnsi="Calibri" w:cs="宋体"/>
      <w:kern w:val="0"/>
      <w:sz w:val="24"/>
      <w:szCs w:val="22"/>
    </w:rPr>
  </w:style>
  <w:style w:type="paragraph" w:customStyle="1" w:styleId="334">
    <w:name w:val="Normal_17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35">
    <w:name w:val="Normal_10_0"/>
    <w:autoRedefine/>
    <w:qFormat/>
    <w:uiPriority w:val="0"/>
    <w:rPr>
      <w:rFonts w:ascii="Times New Roman" w:hAnsi="Times New Roman" w:eastAsia="Times New Roman" w:cs="Times New Roman"/>
      <w:sz w:val="24"/>
      <w:szCs w:val="24"/>
      <w:lang w:val="en-US" w:eastAsia="zh-CN" w:bidi="ar-SA"/>
    </w:rPr>
  </w:style>
  <w:style w:type="paragraph" w:customStyle="1" w:styleId="336">
    <w:name w:val="xl42"/>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7">
    <w:name w:val="正文_8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8">
    <w:name w:val="Char Char Char Char Char Char Char Char Char Char1"/>
    <w:basedOn w:val="1"/>
    <w:autoRedefine/>
    <w:qFormat/>
    <w:uiPriority w:val="0"/>
    <w:rPr>
      <w:rFonts w:ascii="Tahoma" w:hAnsi="Tahoma" w:cs="Tahoma"/>
      <w:sz w:val="24"/>
      <w:szCs w:val="22"/>
    </w:rPr>
  </w:style>
  <w:style w:type="paragraph" w:customStyle="1" w:styleId="33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0">
    <w:name w:val="Normal_4_0"/>
    <w:autoRedefine/>
    <w:qFormat/>
    <w:uiPriority w:val="0"/>
    <w:rPr>
      <w:rFonts w:ascii="黑体" w:hAnsi="黑体" w:eastAsia="黑体" w:cs="Times New Roman"/>
      <w:b/>
      <w:sz w:val="32"/>
      <w:szCs w:val="24"/>
      <w:lang w:val="en-US" w:eastAsia="zh-CN" w:bidi="ar-SA"/>
    </w:rPr>
  </w:style>
  <w:style w:type="paragraph" w:customStyle="1" w:styleId="341">
    <w:name w:val="列出段落_0"/>
    <w:basedOn w:val="246"/>
    <w:autoRedefine/>
    <w:qFormat/>
    <w:uiPriority w:val="99"/>
    <w:pPr>
      <w:ind w:firstLine="420" w:firstLineChars="200"/>
    </w:pPr>
  </w:style>
  <w:style w:type="paragraph" w:customStyle="1" w:styleId="342">
    <w:name w:val="正文小四"/>
    <w:basedOn w:val="1"/>
    <w:autoRedefine/>
    <w:qFormat/>
    <w:uiPriority w:val="0"/>
    <w:pPr>
      <w:spacing w:line="312" w:lineRule="auto"/>
    </w:pPr>
    <w:rPr>
      <w:rFonts w:ascii="Calibri" w:hAnsi="Calibri"/>
      <w:sz w:val="24"/>
      <w:szCs w:val="22"/>
    </w:rPr>
  </w:style>
  <w:style w:type="paragraph" w:customStyle="1" w:styleId="343">
    <w:name w:val="正文_1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说明书2级标题"/>
    <w:basedOn w:val="1"/>
    <w:next w:val="331"/>
    <w:autoRedefine/>
    <w:qFormat/>
    <w:uiPriority w:val="0"/>
    <w:pPr>
      <w:numPr>
        <w:ilvl w:val="2"/>
        <w:numId w:val="4"/>
      </w:numPr>
      <w:tabs>
        <w:tab w:val="left" w:pos="1680"/>
      </w:tabs>
      <w:spacing w:beforeLines="100"/>
    </w:pPr>
    <w:rPr>
      <w:rFonts w:ascii="Calibri" w:hAnsi="Calibri" w:eastAsia="黑体"/>
      <w:sz w:val="28"/>
      <w:szCs w:val="28"/>
    </w:rPr>
  </w:style>
  <w:style w:type="paragraph" w:customStyle="1" w:styleId="345">
    <w:name w:val="È±Ê¡ÎÄ±¾"/>
    <w:basedOn w:val="1"/>
    <w:autoRedefine/>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6">
    <w:name w:val="正文_12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47">
    <w:name w:val="Indent Normal"/>
    <w:basedOn w:val="1"/>
    <w:autoRedefine/>
    <w:qFormat/>
    <w:uiPriority w:val="0"/>
    <w:pPr>
      <w:ind w:firstLine="150" w:firstLineChars="150"/>
    </w:pPr>
    <w:rPr>
      <w:rFonts w:ascii="Calibri" w:hAnsi="Calibri"/>
      <w:sz w:val="24"/>
      <w:szCs w:val="20"/>
    </w:rPr>
  </w:style>
  <w:style w:type="paragraph" w:customStyle="1" w:styleId="348">
    <w:name w:val="缩进正文"/>
    <w:basedOn w:val="1"/>
    <w:autoRedefine/>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49">
    <w:name w:val="列出段落_2"/>
    <w:basedOn w:val="337"/>
    <w:autoRedefine/>
    <w:qFormat/>
    <w:uiPriority w:val="34"/>
    <w:pPr>
      <w:ind w:firstLine="420" w:firstLineChars="200"/>
    </w:pPr>
  </w:style>
  <w:style w:type="paragraph" w:customStyle="1" w:styleId="350">
    <w:name w:val="Bullet"/>
    <w:basedOn w:val="1"/>
    <w:autoRedefine/>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1">
    <w:name w:val="正文_1_0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2">
    <w:name w:val="xl40"/>
    <w:basedOn w:val="1"/>
    <w:autoRedefine/>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3">
    <w:name w:val="我的样式"/>
    <w:basedOn w:val="2"/>
    <w:next w:val="1"/>
    <w:autoRedefine/>
    <w:qFormat/>
    <w:uiPriority w:val="0"/>
    <w:pPr>
      <w:numPr>
        <w:ilvl w:val="0"/>
        <w:numId w:val="5"/>
      </w:numPr>
      <w:spacing w:line="360" w:lineRule="auto"/>
    </w:pPr>
    <w:rPr>
      <w:rFonts w:ascii="仿宋_GB2312" w:eastAsia="仿宋_GB2312"/>
      <w:sz w:val="32"/>
      <w:szCs w:val="30"/>
    </w:rPr>
  </w:style>
  <w:style w:type="paragraph" w:customStyle="1" w:styleId="354">
    <w:name w:val="Normal_9_0"/>
    <w:autoRedefine/>
    <w:qFormat/>
    <w:uiPriority w:val="0"/>
    <w:rPr>
      <w:rFonts w:ascii="Times New Roman" w:hAnsi="Times New Roman" w:eastAsia="Times New Roman" w:cs="Times New Roman"/>
      <w:sz w:val="24"/>
      <w:szCs w:val="24"/>
      <w:lang w:val="en-US" w:eastAsia="zh-CN" w:bidi="ar-SA"/>
    </w:rPr>
  </w:style>
  <w:style w:type="paragraph" w:customStyle="1" w:styleId="35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6">
    <w:name w:val="Char Char Char Char Char Char Char Char Char Char2"/>
    <w:basedOn w:val="1"/>
    <w:autoRedefine/>
    <w:qFormat/>
    <w:uiPriority w:val="0"/>
    <w:rPr>
      <w:rFonts w:ascii="Tahoma" w:hAnsi="Tahoma"/>
      <w:sz w:val="24"/>
      <w:szCs w:val="20"/>
    </w:rPr>
  </w:style>
  <w:style w:type="paragraph" w:customStyle="1" w:styleId="357">
    <w:name w:val="保密事宜格式"/>
    <w:basedOn w:val="16"/>
    <w:autoRedefine/>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58">
    <w:name w:val="Normal_2"/>
    <w:autoRedefine/>
    <w:qFormat/>
    <w:uiPriority w:val="0"/>
    <w:rPr>
      <w:rFonts w:ascii="黑体" w:hAnsi="黑体" w:eastAsia="黑体" w:cs="Times New Roman"/>
      <w:b/>
      <w:sz w:val="32"/>
      <w:szCs w:val="24"/>
      <w:lang w:val="en-US" w:eastAsia="zh-CN" w:bidi="ar-SA"/>
    </w:rPr>
  </w:style>
  <w:style w:type="paragraph" w:customStyle="1" w:styleId="359">
    <w:name w:val="Normal_8_0"/>
    <w:autoRedefine/>
    <w:qFormat/>
    <w:uiPriority w:val="0"/>
    <w:rPr>
      <w:rFonts w:ascii="黑体" w:hAnsi="黑体" w:eastAsia="黑体" w:cs="Times New Roman"/>
      <w:b/>
      <w:sz w:val="32"/>
      <w:szCs w:val="24"/>
      <w:lang w:val="en-US" w:eastAsia="zh-CN" w:bidi="ar-SA"/>
    </w:rPr>
  </w:style>
  <w:style w:type="paragraph" w:customStyle="1" w:styleId="360">
    <w:name w:val="表格文字"/>
    <w:basedOn w:val="1"/>
    <w:autoRedefine/>
    <w:qFormat/>
    <w:uiPriority w:val="0"/>
    <w:pPr>
      <w:jc w:val="left"/>
    </w:pPr>
    <w:rPr>
      <w:rFonts w:ascii="Calibri" w:hAnsi="Calibri"/>
      <w:sz w:val="18"/>
      <w:szCs w:val="22"/>
    </w:rPr>
  </w:style>
  <w:style w:type="paragraph" w:customStyle="1" w:styleId="361">
    <w:name w:val="Style10"/>
    <w:basedOn w:val="1"/>
    <w:autoRedefine/>
    <w:qFormat/>
    <w:uiPriority w:val="0"/>
    <w:pPr>
      <w:adjustRightInd w:val="0"/>
      <w:jc w:val="left"/>
    </w:pPr>
    <w:rPr>
      <w:rFonts w:ascii="宋体"/>
      <w:kern w:val="0"/>
      <w:sz w:val="24"/>
    </w:rPr>
  </w:style>
  <w:style w:type="paragraph" w:customStyle="1" w:styleId="362">
    <w:name w:val="表头"/>
    <w:basedOn w:val="127"/>
    <w:autoRedefine/>
    <w:qFormat/>
    <w:uiPriority w:val="0"/>
    <w:pPr>
      <w:widowControl/>
      <w:spacing w:line="240" w:lineRule="auto"/>
      <w:jc w:val="left"/>
    </w:pPr>
    <w:rPr>
      <w:rFonts w:ascii="Times New Roman" w:hAnsi="Times New Roman"/>
      <w:sz w:val="20"/>
      <w:szCs w:val="20"/>
    </w:rPr>
  </w:style>
  <w:style w:type="paragraph" w:customStyle="1" w:styleId="363">
    <w:name w:val="Normal_2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64">
    <w:name w:val="ul"/>
    <w:basedOn w:val="1"/>
    <w:autoRedefine/>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5">
    <w:name w:val="tabletext"/>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36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图号"/>
    <w:basedOn w:val="1"/>
    <w:autoRedefine/>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68">
    <w:name w:val="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69">
    <w:name w:val="TOC Heading"/>
    <w:basedOn w:val="2"/>
    <w:next w:val="1"/>
    <w:autoRedefine/>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370">
    <w:name w:val="xl34"/>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1">
    <w:name w:val="首页空格"/>
    <w:autoRedefine/>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2">
    <w:name w:val="Normal_0"/>
    <w:autoRedefine/>
    <w:qFormat/>
    <w:uiPriority w:val="0"/>
    <w:rPr>
      <w:rFonts w:ascii="黑体" w:hAnsi="黑体" w:eastAsia="黑体" w:cs="Times New Roman"/>
      <w:b/>
      <w:sz w:val="32"/>
      <w:szCs w:val="24"/>
      <w:lang w:val="en-US" w:eastAsia="zh-CN" w:bidi="ar-SA"/>
    </w:rPr>
  </w:style>
  <w:style w:type="paragraph" w:customStyle="1" w:styleId="373">
    <w:name w:val="正文_1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4">
    <w:name w:val="列出段落3"/>
    <w:basedOn w:val="1"/>
    <w:autoRedefine/>
    <w:qFormat/>
    <w:uiPriority w:val="0"/>
    <w:pPr>
      <w:ind w:firstLine="420" w:firstLineChars="200"/>
    </w:pPr>
    <w:rPr>
      <w:rFonts w:ascii="Calibri" w:hAnsi="Calibri"/>
      <w:szCs w:val="22"/>
    </w:rPr>
  </w:style>
  <w:style w:type="paragraph" w:customStyle="1" w:styleId="375">
    <w:name w:val="正文_9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7">
    <w:name w:val="style42"/>
    <w:basedOn w:val="1"/>
    <w:autoRedefine/>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78">
    <w:name w:val="保密事宜内容"/>
    <w:basedOn w:val="1"/>
    <w:autoRedefine/>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79">
    <w:name w:val="表格样式居左"/>
    <w:autoRedefine/>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0">
    <w:name w:val="正文（缩进） Char1"/>
    <w:basedOn w:val="1"/>
    <w:autoRedefine/>
    <w:qFormat/>
    <w:uiPriority w:val="0"/>
    <w:pPr>
      <w:spacing w:beforeLines="50" w:afterLines="50" w:line="360" w:lineRule="auto"/>
      <w:ind w:firstLine="480" w:firstLineChars="200"/>
    </w:pPr>
    <w:rPr>
      <w:sz w:val="24"/>
    </w:rPr>
  </w:style>
  <w:style w:type="paragraph" w:customStyle="1" w:styleId="381">
    <w:name w:val="正文_1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正文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附图居中"/>
    <w:basedOn w:val="1"/>
    <w:next w:val="332"/>
    <w:autoRedefine/>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5">
    <w:name w:val="Normal_22"/>
    <w:autoRedefine/>
    <w:qFormat/>
    <w:uiPriority w:val="0"/>
    <w:rPr>
      <w:rFonts w:ascii="黑体" w:hAnsi="黑体" w:eastAsia="黑体" w:cs="Times New Roman"/>
      <w:b/>
      <w:sz w:val="32"/>
      <w:szCs w:val="24"/>
      <w:lang w:val="en-US" w:eastAsia="zh-CN" w:bidi="ar-SA"/>
    </w:rPr>
  </w:style>
  <w:style w:type="paragraph" w:customStyle="1" w:styleId="386">
    <w:name w:val="Normal_16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87">
    <w:name w:val="首页标题 一号"/>
    <w:basedOn w:val="309"/>
    <w:autoRedefine/>
    <w:qFormat/>
    <w:uiPriority w:val="0"/>
    <w:rPr>
      <w:sz w:val="52"/>
    </w:rPr>
  </w:style>
  <w:style w:type="paragraph" w:customStyle="1" w:styleId="388">
    <w:name w:val="Normal_1_1"/>
    <w:autoRedefine/>
    <w:qFormat/>
    <w:uiPriority w:val="0"/>
    <w:rPr>
      <w:rFonts w:ascii="黑体" w:hAnsi="黑体" w:eastAsia="黑体" w:cs="Times New Roman"/>
      <w:b/>
      <w:sz w:val="32"/>
      <w:szCs w:val="24"/>
      <w:lang w:val="en-US" w:eastAsia="zh-CN" w:bidi="ar-SA"/>
    </w:rPr>
  </w:style>
  <w:style w:type="paragraph" w:customStyle="1" w:styleId="389">
    <w:name w:val="Normal_11"/>
    <w:autoRedefine/>
    <w:qFormat/>
    <w:uiPriority w:val="0"/>
    <w:rPr>
      <w:rFonts w:ascii="黑体" w:hAnsi="黑体" w:eastAsia="黑体" w:cs="Times New Roman"/>
      <w:b/>
      <w:sz w:val="32"/>
      <w:szCs w:val="24"/>
      <w:lang w:val="en-US" w:eastAsia="zh-CN" w:bidi="ar-SA"/>
    </w:rPr>
  </w:style>
  <w:style w:type="paragraph" w:customStyle="1" w:styleId="390">
    <w:name w:val="Char1"/>
    <w:basedOn w:val="1"/>
    <w:autoRedefine/>
    <w:qFormat/>
    <w:uiPriority w:val="0"/>
    <w:pPr>
      <w:tabs>
        <w:tab w:val="left" w:pos="840"/>
      </w:tabs>
      <w:ind w:left="840" w:hanging="420"/>
    </w:pPr>
    <w:rPr>
      <w:sz w:val="24"/>
    </w:rPr>
  </w:style>
  <w:style w:type="paragraph" w:customStyle="1" w:styleId="391">
    <w:name w:val="Normal_14_0_0"/>
    <w:autoRedefine/>
    <w:qFormat/>
    <w:uiPriority w:val="0"/>
    <w:rPr>
      <w:rFonts w:ascii="黑体" w:hAnsi="黑体" w:eastAsia="黑体" w:cs="Times New Roman"/>
      <w:b/>
      <w:sz w:val="32"/>
      <w:szCs w:val="24"/>
      <w:lang w:val="en-US" w:eastAsia="zh-CN" w:bidi="ar-SA"/>
    </w:rPr>
  </w:style>
  <w:style w:type="paragraph" w:customStyle="1" w:styleId="392">
    <w:name w:val="Normal_18_0"/>
    <w:autoRedefine/>
    <w:qFormat/>
    <w:uiPriority w:val="0"/>
    <w:rPr>
      <w:rFonts w:ascii="黑体" w:hAnsi="黑体" w:eastAsia="黑体" w:cs="Times New Roman"/>
      <w:b/>
      <w:sz w:val="32"/>
      <w:szCs w:val="24"/>
      <w:lang w:val="en-US" w:eastAsia="zh-CN" w:bidi="ar-SA"/>
    </w:rPr>
  </w:style>
  <w:style w:type="paragraph" w:customStyle="1" w:styleId="393">
    <w:name w:val="样式5"/>
    <w:basedOn w:val="4"/>
    <w:autoRedefine/>
    <w:qFormat/>
    <w:uiPriority w:val="0"/>
    <w:pPr>
      <w:spacing w:line="412" w:lineRule="auto"/>
    </w:pPr>
    <w:rPr>
      <w:rFonts w:ascii="Calibri" w:hAnsi="Calibri"/>
      <w:kern w:val="2"/>
      <w:sz w:val="28"/>
      <w:szCs w:val="28"/>
    </w:rPr>
  </w:style>
  <w:style w:type="paragraph" w:customStyle="1" w:styleId="394">
    <w:name w:val="正文_4_0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5">
    <w:name w:val="技术方案正文样式"/>
    <w:basedOn w:val="1"/>
    <w:autoRedefine/>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6">
    <w:name w:val="样式4"/>
    <w:basedOn w:val="4"/>
    <w:autoRedefine/>
    <w:qFormat/>
    <w:uiPriority w:val="0"/>
    <w:pPr>
      <w:spacing w:line="412" w:lineRule="auto"/>
    </w:pPr>
    <w:rPr>
      <w:rFonts w:ascii="Calibri" w:hAnsi="Calibri"/>
      <w:kern w:val="2"/>
      <w:sz w:val="28"/>
      <w:szCs w:val="28"/>
    </w:rPr>
  </w:style>
  <w:style w:type="paragraph" w:customStyle="1" w:styleId="397">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Char11"/>
    <w:basedOn w:val="1"/>
    <w:autoRedefine/>
    <w:qFormat/>
    <w:uiPriority w:val="0"/>
    <w:rPr>
      <w:rFonts w:ascii="Calibri" w:hAnsi="Calibri"/>
      <w:szCs w:val="21"/>
    </w:rPr>
  </w:style>
  <w:style w:type="paragraph" w:customStyle="1" w:styleId="399">
    <w:name w:val="缺省文本"/>
    <w:basedOn w:val="1"/>
    <w:autoRedefine/>
    <w:qFormat/>
    <w:uiPriority w:val="0"/>
    <w:pPr>
      <w:autoSpaceDE w:val="0"/>
      <w:autoSpaceDN w:val="0"/>
      <w:adjustRightInd w:val="0"/>
      <w:jc w:val="left"/>
    </w:pPr>
    <w:rPr>
      <w:rFonts w:ascii="Calibri" w:hAnsi="Calibri"/>
      <w:kern w:val="0"/>
      <w:sz w:val="24"/>
      <w:szCs w:val="20"/>
    </w:rPr>
  </w:style>
  <w:style w:type="paragraph" w:customStyle="1" w:styleId="400">
    <w:name w:val="图表目录1"/>
    <w:autoRedefine/>
    <w:qFormat/>
    <w:uiPriority w:val="0"/>
    <w:pPr>
      <w:ind w:left="840" w:hanging="420"/>
    </w:pPr>
    <w:rPr>
      <w:rFonts w:ascii="Times New Roman" w:hAnsi="Times New Roman" w:eastAsia="宋体" w:cs="宋体"/>
      <w:kern w:val="2"/>
      <w:sz w:val="21"/>
      <w:lang w:val="en-US" w:eastAsia="zh-CN" w:bidi="ar-SA"/>
    </w:rPr>
  </w:style>
  <w:style w:type="paragraph" w:customStyle="1" w:styleId="401">
    <w:name w:val="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02">
    <w:name w:val="列出段落_1"/>
    <w:basedOn w:val="313"/>
    <w:autoRedefine/>
    <w:qFormat/>
    <w:uiPriority w:val="34"/>
    <w:pPr>
      <w:ind w:firstLine="420" w:firstLineChars="200"/>
    </w:pPr>
  </w:style>
  <w:style w:type="paragraph" w:customStyle="1" w:styleId="403">
    <w:name w:val="正文（无缩进）"/>
    <w:basedOn w:val="1"/>
    <w:autoRedefine/>
    <w:qFormat/>
    <w:uiPriority w:val="0"/>
    <w:pPr>
      <w:spacing w:line="360" w:lineRule="auto"/>
    </w:pPr>
    <w:rPr>
      <w:rFonts w:ascii="Calibri" w:hAnsi="Calibri"/>
      <w:sz w:val="24"/>
      <w:szCs w:val="21"/>
    </w:rPr>
  </w:style>
  <w:style w:type="paragraph" w:customStyle="1" w:styleId="404">
    <w:name w:val="段落"/>
    <w:autoRedefine/>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5">
    <w:name w:val="Normal_14_0_0_0"/>
    <w:autoRedefine/>
    <w:qFormat/>
    <w:uiPriority w:val="0"/>
    <w:rPr>
      <w:rFonts w:ascii="黑体" w:hAnsi="黑体" w:eastAsia="黑体" w:cs="Times New Roman"/>
      <w:b/>
      <w:sz w:val="32"/>
      <w:szCs w:val="24"/>
      <w:lang w:val="en-US" w:eastAsia="zh-CN" w:bidi="ar-SA"/>
    </w:rPr>
  </w:style>
  <w:style w:type="paragraph" w:customStyle="1" w:styleId="406">
    <w:name w:val="标书2"/>
    <w:next w:val="404"/>
    <w:autoRedefine/>
    <w:qFormat/>
    <w:uiPriority w:val="0"/>
    <w:rPr>
      <w:rFonts w:ascii="Times New Roman" w:hAnsi="Times New Roman" w:eastAsia="黑体" w:cs="宋体"/>
      <w:b/>
      <w:kern w:val="2"/>
      <w:sz w:val="44"/>
      <w:lang w:val="en-US" w:eastAsia="zh-CN" w:bidi="ar-SA"/>
    </w:rPr>
  </w:style>
  <w:style w:type="paragraph" w:customStyle="1" w:styleId="407">
    <w:name w:val="标准小四"/>
    <w:basedOn w:val="1"/>
    <w:autoRedefine/>
    <w:qFormat/>
    <w:uiPriority w:val="0"/>
    <w:pPr>
      <w:spacing w:line="360" w:lineRule="auto"/>
      <w:ind w:firstLine="200" w:firstLineChars="200"/>
    </w:pPr>
    <w:rPr>
      <w:rFonts w:ascii="Arial" w:hAnsi="Arial"/>
      <w:sz w:val="24"/>
      <w:szCs w:val="21"/>
    </w:rPr>
  </w:style>
  <w:style w:type="paragraph" w:customStyle="1" w:styleId="408">
    <w:name w:val="编号"/>
    <w:basedOn w:val="1"/>
    <w:next w:val="404"/>
    <w:autoRedefine/>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09">
    <w:name w:val="Normal_3_0"/>
    <w:autoRedefine/>
    <w:qFormat/>
    <w:uiPriority w:val="0"/>
    <w:rPr>
      <w:rFonts w:ascii="黑体" w:hAnsi="黑体" w:eastAsia="黑体" w:cs="Times New Roman"/>
      <w:b/>
      <w:sz w:val="32"/>
      <w:szCs w:val="24"/>
      <w:lang w:val="en-US" w:eastAsia="zh-CN" w:bidi="ar-SA"/>
    </w:rPr>
  </w:style>
  <w:style w:type="paragraph" w:customStyle="1" w:styleId="410">
    <w:name w:val="Normal_12_0"/>
    <w:autoRedefine/>
    <w:qFormat/>
    <w:uiPriority w:val="0"/>
    <w:rPr>
      <w:rFonts w:ascii="黑体" w:hAnsi="黑体" w:eastAsia="黑体" w:cs="Times New Roman"/>
      <w:b/>
      <w:sz w:val="32"/>
      <w:szCs w:val="24"/>
      <w:lang w:val="en-US" w:eastAsia="zh-CN" w:bidi="ar-SA"/>
    </w:rPr>
  </w:style>
  <w:style w:type="paragraph" w:customStyle="1" w:styleId="411">
    <w:name w:val="SFClearBullets"/>
    <w:autoRedefine/>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2">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3">
    <w:name w:val="新段落缩进"/>
    <w:basedOn w:val="1"/>
    <w:autoRedefine/>
    <w:qFormat/>
    <w:uiPriority w:val="0"/>
    <w:pPr>
      <w:spacing w:line="400" w:lineRule="exact"/>
      <w:ind w:firstLine="200" w:firstLineChars="200"/>
    </w:pPr>
    <w:rPr>
      <w:rFonts w:ascii="仿宋_GB2312" w:hAnsi="Calibri" w:eastAsia="仿宋_GB2312"/>
      <w:kern w:val="0"/>
      <w:sz w:val="24"/>
      <w:szCs w:val="22"/>
    </w:rPr>
  </w:style>
  <w:style w:type="paragraph" w:customStyle="1" w:styleId="414">
    <w:name w:val="pbody"/>
    <w:basedOn w:val="1"/>
    <w:autoRedefine/>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5">
    <w:name w:val="Normal_7_0"/>
    <w:autoRedefine/>
    <w:qFormat/>
    <w:uiPriority w:val="0"/>
    <w:rPr>
      <w:rFonts w:ascii="黑体" w:hAnsi="黑体" w:eastAsia="黑体" w:cs="Times New Roman"/>
      <w:b/>
      <w:sz w:val="32"/>
      <w:szCs w:val="24"/>
      <w:lang w:val="en-US" w:eastAsia="zh-CN" w:bidi="ar-SA"/>
    </w:rPr>
  </w:style>
  <w:style w:type="paragraph" w:customStyle="1" w:styleId="416">
    <w:name w:val="Char Char Char Char"/>
    <w:basedOn w:val="19"/>
    <w:autoRedefine/>
    <w:qFormat/>
    <w:uiPriority w:val="0"/>
    <w:pPr>
      <w:adjustRightInd w:val="0"/>
      <w:snapToGrid w:val="0"/>
      <w:spacing w:line="360" w:lineRule="auto"/>
    </w:pPr>
    <w:rPr>
      <w:rFonts w:ascii="Tahoma" w:hAnsi="Tahoma"/>
      <w:sz w:val="24"/>
    </w:rPr>
  </w:style>
  <w:style w:type="paragraph" w:customStyle="1" w:styleId="417">
    <w:name w:val="Normal_14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18">
    <w:name w:val="Normal_1"/>
    <w:autoRedefine/>
    <w:qFormat/>
    <w:uiPriority w:val="0"/>
    <w:rPr>
      <w:rFonts w:ascii="黑体" w:hAnsi="黑体" w:eastAsia="黑体" w:cs="Times New Roman"/>
      <w:b/>
      <w:sz w:val="32"/>
      <w:szCs w:val="24"/>
      <w:lang w:val="en-US" w:eastAsia="zh-CN" w:bidi="ar-SA"/>
    </w:rPr>
  </w:style>
  <w:style w:type="paragraph" w:customStyle="1" w:styleId="419">
    <w:name w:val="表格"/>
    <w:basedOn w:val="1"/>
    <w:autoRedefine/>
    <w:qFormat/>
    <w:uiPriority w:val="0"/>
    <w:pPr>
      <w:snapToGrid w:val="0"/>
      <w:ind w:firstLine="21" w:firstLineChars="21"/>
    </w:pPr>
    <w:rPr>
      <w:rFonts w:ascii="宋体" w:hAnsi="Calibri"/>
      <w:szCs w:val="20"/>
    </w:rPr>
  </w:style>
  <w:style w:type="paragraph" w:customStyle="1" w:styleId="420">
    <w:name w:val="Normal_1_0"/>
    <w:autoRedefine/>
    <w:qFormat/>
    <w:uiPriority w:val="0"/>
    <w:rPr>
      <w:rFonts w:ascii="Times New Roman" w:hAnsi="Times New Roman" w:eastAsia="Times New Roman" w:cs="Times New Roman"/>
      <w:sz w:val="24"/>
      <w:szCs w:val="24"/>
      <w:lang w:val="en-US" w:eastAsia="zh-CN" w:bidi="ar-SA"/>
    </w:rPr>
  </w:style>
  <w:style w:type="paragraph" w:customStyle="1" w:styleId="421">
    <w:name w:val="样式 正文缩进 + (中文) 仿宋_GB2312 小四 Char"/>
    <w:basedOn w:val="15"/>
    <w:autoRedefine/>
    <w:qFormat/>
    <w:uiPriority w:val="0"/>
    <w:pPr>
      <w:spacing w:line="360" w:lineRule="auto"/>
      <w:ind w:firstLine="200"/>
    </w:pPr>
    <w:rPr>
      <w:rFonts w:ascii="宋体" w:hAnsi="Calibri"/>
      <w:kern w:val="2"/>
      <w:sz w:val="24"/>
    </w:rPr>
  </w:style>
  <w:style w:type="paragraph" w:customStyle="1" w:styleId="42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3">
    <w:name w:val="Normal_5_0"/>
    <w:autoRedefine/>
    <w:qFormat/>
    <w:uiPriority w:val="0"/>
    <w:rPr>
      <w:rFonts w:ascii="黑体" w:hAnsi="黑体" w:eastAsia="黑体" w:cs="Times New Roman"/>
      <w:b/>
      <w:sz w:val="32"/>
      <w:szCs w:val="24"/>
      <w:lang w:val="en-US" w:eastAsia="zh-CN" w:bidi="ar-SA"/>
    </w:rPr>
  </w:style>
  <w:style w:type="paragraph" w:customStyle="1" w:styleId="424">
    <w:name w:val="Normal_0_2"/>
    <w:autoRedefine/>
    <w:qFormat/>
    <w:uiPriority w:val="0"/>
    <w:rPr>
      <w:rFonts w:ascii="黑体" w:hAnsi="黑体" w:eastAsia="黑体" w:cs="Times New Roman"/>
      <w:b/>
      <w:sz w:val="32"/>
      <w:szCs w:val="24"/>
      <w:lang w:val="en-US" w:eastAsia="zh-CN" w:bidi="ar-SA"/>
    </w:rPr>
  </w:style>
  <w:style w:type="paragraph" w:customStyle="1" w:styleId="425">
    <w:name w:val="CM17"/>
    <w:basedOn w:val="1"/>
    <w:next w:val="1"/>
    <w:autoRedefine/>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6">
    <w:name w:val="无间隔1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Table Text/Title"/>
    <w:basedOn w:val="1"/>
    <w:autoRedefine/>
    <w:qFormat/>
    <w:uiPriority w:val="0"/>
    <w:pPr>
      <w:widowControl/>
      <w:jc w:val="left"/>
    </w:pPr>
    <w:rPr>
      <w:rFonts w:ascii="宋体" w:hAnsi="Calibri"/>
      <w:b/>
      <w:bCs/>
      <w:kern w:val="0"/>
      <w:sz w:val="20"/>
      <w:szCs w:val="20"/>
      <w:lang w:eastAsia="en-US"/>
    </w:rPr>
  </w:style>
  <w:style w:type="paragraph" w:customStyle="1" w:styleId="428">
    <w:name w:val="Char Char Char Char Char Char Char Char Char Char"/>
    <w:basedOn w:val="1"/>
    <w:autoRedefine/>
    <w:qFormat/>
    <w:uiPriority w:val="0"/>
    <w:rPr>
      <w:rFonts w:ascii="Tahoma" w:hAnsi="Tahoma"/>
      <w:sz w:val="24"/>
      <w:szCs w:val="20"/>
    </w:rPr>
  </w:style>
  <w:style w:type="paragraph" w:customStyle="1" w:styleId="429">
    <w:name w:val="大汉方案正文 Char"/>
    <w:basedOn w:val="1"/>
    <w:autoRedefine/>
    <w:qFormat/>
    <w:uiPriority w:val="0"/>
    <w:pPr>
      <w:spacing w:line="360" w:lineRule="auto"/>
      <w:ind w:firstLine="200" w:firstLineChars="200"/>
    </w:pPr>
    <w:rPr>
      <w:rFonts w:ascii="Arial" w:hAnsi="Arial"/>
      <w:sz w:val="24"/>
      <w:szCs w:val="22"/>
    </w:rPr>
  </w:style>
  <w:style w:type="paragraph" w:customStyle="1" w:styleId="430">
    <w:name w:val="样式 正文首行缩进 + 宋体 首行缩进:  0.74 厘米"/>
    <w:basedOn w:val="60"/>
    <w:autoRedefine/>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1">
    <w:name w:val="表文1"/>
    <w:basedOn w:val="1"/>
    <w:autoRedefine/>
    <w:qFormat/>
    <w:uiPriority w:val="0"/>
    <w:pPr>
      <w:widowControl/>
      <w:spacing w:line="360" w:lineRule="auto"/>
      <w:ind w:firstLine="196" w:firstLineChars="196"/>
    </w:pPr>
    <w:rPr>
      <w:rFonts w:ascii="宋体" w:hAnsi="Calibri"/>
      <w:sz w:val="24"/>
      <w:szCs w:val="22"/>
    </w:rPr>
  </w:style>
  <w:style w:type="paragraph" w:customStyle="1" w:styleId="432">
    <w:name w:val="标书3"/>
    <w:next w:val="404"/>
    <w:autoRedefine/>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3">
    <w:name w:val="Normal_6_0"/>
    <w:autoRedefine/>
    <w:qFormat/>
    <w:uiPriority w:val="0"/>
    <w:rPr>
      <w:rFonts w:ascii="黑体" w:hAnsi="黑体" w:eastAsia="黑体" w:cs="Times New Roman"/>
      <w:b/>
      <w:sz w:val="32"/>
      <w:szCs w:val="24"/>
      <w:lang w:val="en-US" w:eastAsia="zh-CN" w:bidi="ar-SA"/>
    </w:rPr>
  </w:style>
  <w:style w:type="paragraph" w:customStyle="1" w:styleId="434">
    <w:name w:val="Figure and Table Title"/>
    <w:basedOn w:val="1"/>
    <w:autoRedefine/>
    <w:qFormat/>
    <w:uiPriority w:val="0"/>
    <w:pPr>
      <w:widowControl/>
      <w:ind w:left="2160"/>
      <w:jc w:val="left"/>
    </w:pPr>
    <w:rPr>
      <w:rFonts w:ascii="Helvetica-Light" w:hAnsi="Helvetica-Light"/>
      <w:b/>
      <w:bCs/>
      <w:kern w:val="0"/>
      <w:sz w:val="20"/>
      <w:szCs w:val="22"/>
      <w:lang w:eastAsia="en-US"/>
    </w:rPr>
  </w:style>
  <w:style w:type="paragraph" w:customStyle="1" w:styleId="435">
    <w:name w:val="FA正文+标号"/>
    <w:basedOn w:val="1"/>
    <w:autoRedefine/>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6">
    <w:name w:val="Normal_17_0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37">
    <w:name w:val="首页标题"/>
    <w:autoRedefine/>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38">
    <w:name w:val="编号3"/>
    <w:autoRedefine/>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39">
    <w:name w:val="项目"/>
    <w:basedOn w:val="1"/>
    <w:autoRedefine/>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0">
    <w:name w:val="封面标准号1"/>
    <w:autoRedefine/>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1">
    <w:name w:val="Char1 Char Char Char"/>
    <w:basedOn w:val="1"/>
    <w:autoRedefine/>
    <w:qFormat/>
    <w:uiPriority w:val="0"/>
    <w:rPr>
      <w:rFonts w:ascii="Calibri" w:hAnsi="Calibri"/>
      <w:szCs w:val="20"/>
    </w:rPr>
  </w:style>
  <w:style w:type="paragraph" w:customStyle="1" w:styleId="44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Sourcetext bullet"/>
    <w:basedOn w:val="1"/>
    <w:autoRedefine/>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4">
    <w:name w:val="参考资料清单+倾斜+蓝色"/>
    <w:basedOn w:val="1"/>
    <w:autoRedefine/>
    <w:qFormat/>
    <w:uiPriority w:val="0"/>
    <w:pPr>
      <w:autoSpaceDE w:val="0"/>
      <w:autoSpaceDN w:val="0"/>
      <w:adjustRightInd w:val="0"/>
      <w:spacing w:line="360" w:lineRule="auto"/>
    </w:pPr>
    <w:rPr>
      <w:rFonts w:ascii="Arial" w:hAnsi="Arial"/>
      <w:i/>
      <w:iCs/>
      <w:color w:val="0000FF"/>
      <w:kern w:val="0"/>
      <w:szCs w:val="21"/>
    </w:rPr>
  </w:style>
  <w:style w:type="paragraph" w:customStyle="1" w:styleId="445">
    <w:name w:val="正文_8_0"/>
    <w:autoRedefine/>
    <w:qFormat/>
    <w:uiPriority w:val="0"/>
    <w:pPr>
      <w:widowControl w:val="0"/>
      <w:jc w:val="both"/>
    </w:pPr>
    <w:rPr>
      <w:rFonts w:ascii="Times New Roman" w:hAnsi="Times New Roman" w:eastAsia="宋体" w:cs="Times New Roman"/>
      <w:lang w:val="en-US" w:eastAsia="zh-CN" w:bidi="ar-SA"/>
    </w:rPr>
  </w:style>
  <w:style w:type="paragraph" w:customStyle="1" w:styleId="446">
    <w:name w:val="Normal_9"/>
    <w:autoRedefine/>
    <w:qFormat/>
    <w:uiPriority w:val="0"/>
    <w:rPr>
      <w:rFonts w:ascii="黑体" w:hAnsi="黑体" w:eastAsia="黑体" w:cs="Times New Roman"/>
      <w:b/>
      <w:sz w:val="32"/>
      <w:szCs w:val="24"/>
      <w:lang w:val="en-US" w:eastAsia="zh-CN" w:bidi="ar-SA"/>
    </w:rPr>
  </w:style>
  <w:style w:type="paragraph" w:customStyle="1" w:styleId="44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正文_10_0"/>
    <w:autoRedefine/>
    <w:qFormat/>
    <w:uiPriority w:val="0"/>
    <w:pPr>
      <w:widowControl w:val="0"/>
      <w:jc w:val="both"/>
    </w:pPr>
    <w:rPr>
      <w:rFonts w:ascii="Times New Roman" w:hAnsi="Times New Roman" w:eastAsia="宋体" w:cs="Times New Roman"/>
      <w:lang w:val="en-US" w:eastAsia="zh-CN" w:bidi="ar-SA"/>
    </w:rPr>
  </w:style>
  <w:style w:type="paragraph" w:customStyle="1" w:styleId="44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0">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表格标题"/>
    <w:basedOn w:val="1"/>
    <w:autoRedefine/>
    <w:qFormat/>
    <w:uiPriority w:val="0"/>
    <w:pPr>
      <w:jc w:val="center"/>
    </w:pPr>
    <w:rPr>
      <w:rFonts w:ascii="Calibri" w:hAnsi="Calibri"/>
      <w:b/>
      <w:szCs w:val="22"/>
    </w:rPr>
  </w:style>
  <w:style w:type="paragraph" w:customStyle="1" w:styleId="452">
    <w:name w:val="编号1"/>
    <w:next w:val="404"/>
    <w:autoRedefine/>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3">
    <w:name w:val="技术方案2"/>
    <w:basedOn w:val="1"/>
    <w:autoRedefine/>
    <w:qFormat/>
    <w:uiPriority w:val="0"/>
    <w:pPr>
      <w:spacing w:line="480" w:lineRule="auto"/>
    </w:pPr>
    <w:rPr>
      <w:rFonts w:ascii="宋体" w:hAnsi="Calibri"/>
      <w:b/>
      <w:bCs/>
      <w:sz w:val="36"/>
      <w:szCs w:val="22"/>
    </w:rPr>
  </w:style>
  <w:style w:type="paragraph" w:customStyle="1" w:styleId="454">
    <w:name w:val="默认段落字体 Para Char Char Char Char Char Char Char Char Char Char Char Char Char Char"/>
    <w:basedOn w:val="19"/>
    <w:autoRedefine/>
    <w:qFormat/>
    <w:uiPriority w:val="0"/>
    <w:rPr>
      <w:rFonts w:ascii="Tahoma" w:hAnsi="Tahoma"/>
      <w:sz w:val="24"/>
      <w:szCs w:val="22"/>
    </w:rPr>
  </w:style>
  <w:style w:type="paragraph" w:customStyle="1" w:styleId="455">
    <w:name w:val="Normal_10"/>
    <w:autoRedefine/>
    <w:qFormat/>
    <w:uiPriority w:val="0"/>
    <w:rPr>
      <w:rFonts w:ascii="黑体" w:hAnsi="黑体" w:eastAsia="黑体" w:cs="Times New Roman"/>
      <w:b/>
      <w:sz w:val="32"/>
      <w:szCs w:val="24"/>
      <w:lang w:val="en-US" w:eastAsia="zh-CN" w:bidi="ar-SA"/>
    </w:rPr>
  </w:style>
  <w:style w:type="paragraph" w:customStyle="1" w:styleId="456">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7">
    <w:name w:val="正文_6_0_0"/>
    <w:autoRedefine/>
    <w:qFormat/>
    <w:uiPriority w:val="0"/>
    <w:pPr>
      <w:widowControl w:val="0"/>
      <w:jc w:val="both"/>
    </w:pPr>
    <w:rPr>
      <w:rFonts w:ascii="Times New Roman" w:hAnsi="Times New Roman" w:eastAsia="宋体" w:cs="Times New Roman"/>
      <w:lang w:val="en-US" w:eastAsia="zh-CN" w:bidi="ar-SA"/>
    </w:rPr>
  </w:style>
  <w:style w:type="paragraph" w:customStyle="1" w:styleId="458">
    <w:name w:val="首页小标题"/>
    <w:next w:val="371"/>
    <w:autoRedefine/>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59">
    <w:name w:val="a1"/>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60">
    <w:name w:val="一级缩进"/>
    <w:autoRedefine/>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1">
    <w:name w:val="Normal_5"/>
    <w:autoRedefine/>
    <w:qFormat/>
    <w:uiPriority w:val="0"/>
    <w:rPr>
      <w:rFonts w:ascii="黑体" w:hAnsi="黑体" w:eastAsia="黑体" w:cs="Times New Roman"/>
      <w:b/>
      <w:sz w:val="32"/>
      <w:szCs w:val="24"/>
      <w:lang w:val="en-US" w:eastAsia="zh-CN" w:bidi="ar-SA"/>
    </w:rPr>
  </w:style>
  <w:style w:type="paragraph" w:customStyle="1" w:styleId="462">
    <w:name w:val="技术方案3"/>
    <w:basedOn w:val="1"/>
    <w:autoRedefine/>
    <w:qFormat/>
    <w:uiPriority w:val="0"/>
    <w:pPr>
      <w:spacing w:line="360" w:lineRule="auto"/>
    </w:pPr>
    <w:rPr>
      <w:rFonts w:ascii="宋体" w:hAnsi="Calibri"/>
      <w:b/>
      <w:bCs/>
      <w:sz w:val="32"/>
      <w:szCs w:val="22"/>
    </w:rPr>
  </w:style>
  <w:style w:type="paragraph" w:customStyle="1" w:styleId="463">
    <w:name w:val="加点正文缩进"/>
    <w:basedOn w:val="1"/>
    <w:autoRedefine/>
    <w:qFormat/>
    <w:uiPriority w:val="0"/>
    <w:pPr>
      <w:tabs>
        <w:tab w:val="left" w:pos="840"/>
      </w:tabs>
      <w:snapToGrid w:val="0"/>
      <w:spacing w:line="300" w:lineRule="auto"/>
      <w:ind w:left="962" w:hanging="480"/>
    </w:pPr>
    <w:rPr>
      <w:rFonts w:ascii="Calibri" w:hAnsi="Calibri"/>
      <w:sz w:val="24"/>
      <w:szCs w:val="22"/>
    </w:rPr>
  </w:style>
  <w:style w:type="paragraph" w:customStyle="1" w:styleId="464">
    <w:name w:val="规范正文"/>
    <w:basedOn w:val="1"/>
    <w:autoRedefine/>
    <w:qFormat/>
    <w:uiPriority w:val="0"/>
    <w:pPr>
      <w:adjustRightInd w:val="0"/>
      <w:spacing w:line="360" w:lineRule="auto"/>
      <w:ind w:left="480"/>
    </w:pPr>
    <w:rPr>
      <w:rFonts w:ascii="Calibri" w:hAnsi="Calibri"/>
      <w:kern w:val="0"/>
      <w:sz w:val="24"/>
      <w:szCs w:val="20"/>
    </w:rPr>
  </w:style>
  <w:style w:type="paragraph" w:customStyle="1" w:styleId="465">
    <w:name w:val="pa-10"/>
    <w:basedOn w:val="1"/>
    <w:autoRedefine/>
    <w:qFormat/>
    <w:uiPriority w:val="0"/>
    <w:pPr>
      <w:widowControl/>
      <w:spacing w:line="240" w:lineRule="atLeast"/>
    </w:pPr>
    <w:rPr>
      <w:rFonts w:ascii="宋体" w:hAnsi="Calibri" w:cs="宋体"/>
      <w:kern w:val="0"/>
      <w:sz w:val="24"/>
      <w:szCs w:val="22"/>
    </w:rPr>
  </w:style>
  <w:style w:type="paragraph" w:customStyle="1" w:styleId="466">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Normal_2_0"/>
    <w:autoRedefine/>
    <w:qFormat/>
    <w:uiPriority w:val="0"/>
    <w:rPr>
      <w:rFonts w:ascii="黑体" w:hAnsi="黑体" w:eastAsia="黑体" w:cs="Times New Roman"/>
      <w:b/>
      <w:sz w:val="32"/>
      <w:szCs w:val="24"/>
      <w:lang w:val="en-US" w:eastAsia="zh-CN" w:bidi="ar-SA"/>
    </w:rPr>
  </w:style>
  <w:style w:type="paragraph" w:customStyle="1" w:styleId="469">
    <w:name w:val="pa-3"/>
    <w:basedOn w:val="1"/>
    <w:autoRedefine/>
    <w:qFormat/>
    <w:uiPriority w:val="0"/>
    <w:pPr>
      <w:widowControl/>
      <w:spacing w:before="150" w:after="150"/>
      <w:jc w:val="left"/>
    </w:pPr>
    <w:rPr>
      <w:rFonts w:ascii="宋体" w:hAnsi="Calibri" w:cs="宋体"/>
      <w:kern w:val="0"/>
      <w:sz w:val="24"/>
      <w:szCs w:val="22"/>
    </w:rPr>
  </w:style>
  <w:style w:type="paragraph" w:customStyle="1" w:styleId="470">
    <w:name w:val="Normal_15_0"/>
    <w:autoRedefine/>
    <w:qFormat/>
    <w:uiPriority w:val="0"/>
    <w:rPr>
      <w:rFonts w:ascii="黑体" w:hAnsi="黑体" w:eastAsia="黑体" w:cs="Times New Roman"/>
      <w:b/>
      <w:sz w:val="32"/>
      <w:szCs w:val="24"/>
      <w:lang w:val="en-US" w:eastAsia="zh-CN" w:bidi="ar-SA"/>
    </w:rPr>
  </w:style>
  <w:style w:type="paragraph" w:customStyle="1" w:styleId="471">
    <w:name w:val="D&amp;L"/>
    <w:basedOn w:val="40"/>
    <w:autoRedefine/>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2">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3">
    <w:name w:val="表格正文"/>
    <w:autoRedefine/>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4">
    <w:name w:val="font5"/>
    <w:basedOn w:val="1"/>
    <w:autoRedefine/>
    <w:qFormat/>
    <w:uiPriority w:val="0"/>
    <w:pPr>
      <w:widowControl/>
      <w:spacing w:before="100" w:beforeAutospacing="1" w:after="100" w:afterAutospacing="1"/>
      <w:jc w:val="left"/>
    </w:pPr>
    <w:rPr>
      <w:rFonts w:ascii="宋体" w:hAnsi="Calibri"/>
      <w:kern w:val="0"/>
      <w:sz w:val="18"/>
      <w:szCs w:val="18"/>
    </w:rPr>
  </w:style>
  <w:style w:type="paragraph" w:customStyle="1" w:styleId="475">
    <w:name w:val="正文_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7">
    <w:name w:val="a0"/>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7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9">
    <w:name w:val="Normal Paragraph"/>
    <w:basedOn w:val="1"/>
    <w:autoRedefine/>
    <w:qFormat/>
    <w:uiPriority w:val="0"/>
    <w:pPr>
      <w:widowControl/>
      <w:spacing w:before="120" w:line="360" w:lineRule="auto"/>
      <w:ind w:firstLine="425"/>
    </w:pPr>
    <w:rPr>
      <w:rFonts w:ascii="Calibri" w:hAnsi="Calibri"/>
      <w:kern w:val="0"/>
      <w:sz w:val="24"/>
      <w:szCs w:val="20"/>
    </w:rPr>
  </w:style>
  <w:style w:type="paragraph" w:customStyle="1" w:styleId="480">
    <w:name w:val="正文（首行缩进两字）"/>
    <w:basedOn w:val="1"/>
    <w:autoRedefine/>
    <w:qFormat/>
    <w:uiPriority w:val="0"/>
    <w:pPr>
      <w:spacing w:line="312" w:lineRule="auto"/>
    </w:pPr>
    <w:rPr>
      <w:rFonts w:ascii="宋体" w:hAnsi="Calibri" w:cs="宋体"/>
      <w:sz w:val="24"/>
      <w:szCs w:val="22"/>
    </w:rPr>
  </w:style>
  <w:style w:type="paragraph" w:customStyle="1" w:styleId="481">
    <w:name w:val="Normal_19"/>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82">
    <w:name w:val="Style12"/>
    <w:basedOn w:val="1"/>
    <w:autoRedefine/>
    <w:qFormat/>
    <w:uiPriority w:val="0"/>
    <w:pPr>
      <w:adjustRightInd w:val="0"/>
      <w:jc w:val="left"/>
    </w:pPr>
    <w:rPr>
      <w:rFonts w:ascii="宋体"/>
      <w:kern w:val="0"/>
      <w:sz w:val="24"/>
    </w:rPr>
  </w:style>
  <w:style w:type="paragraph" w:customStyle="1" w:styleId="483">
    <w:name w:val="表格序号"/>
    <w:autoRedefine/>
    <w:qFormat/>
    <w:uiPriority w:val="0"/>
    <w:rPr>
      <w:rFonts w:ascii="Times New Roman" w:hAnsi="Times New Roman" w:eastAsia="仿宋_GB2312" w:cs="宋体"/>
      <w:kern w:val="44"/>
      <w:sz w:val="21"/>
      <w:lang w:val="en-US" w:eastAsia="zh-CN" w:bidi="ar-SA"/>
    </w:rPr>
  </w:style>
  <w:style w:type="paragraph" w:customStyle="1" w:styleId="484">
    <w:name w:val="序号"/>
    <w:next w:val="1"/>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5">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6">
    <w:name w:val="Style9"/>
    <w:basedOn w:val="1"/>
    <w:autoRedefine/>
    <w:qFormat/>
    <w:uiPriority w:val="0"/>
    <w:pPr>
      <w:adjustRightInd w:val="0"/>
      <w:jc w:val="left"/>
    </w:pPr>
    <w:rPr>
      <w:rFonts w:ascii="宋体"/>
      <w:kern w:val="0"/>
      <w:sz w:val="24"/>
    </w:rPr>
  </w:style>
  <w:style w:type="paragraph" w:customStyle="1" w:styleId="487">
    <w:name w:val="Normal_7"/>
    <w:autoRedefine/>
    <w:qFormat/>
    <w:uiPriority w:val="0"/>
    <w:rPr>
      <w:rFonts w:ascii="黑体" w:hAnsi="黑体" w:eastAsia="黑体" w:cs="Times New Roman"/>
      <w:b/>
      <w:sz w:val="32"/>
      <w:szCs w:val="24"/>
      <w:lang w:val="en-US" w:eastAsia="zh-CN" w:bidi="ar-SA"/>
    </w:rPr>
  </w:style>
  <w:style w:type="paragraph" w:customStyle="1" w:styleId="488">
    <w:name w:val="Char Char Char1 Char Char Char Char"/>
    <w:basedOn w:val="1"/>
    <w:autoRedefine/>
    <w:qFormat/>
    <w:uiPriority w:val="0"/>
    <w:pPr>
      <w:widowControl/>
      <w:spacing w:after="160" w:line="240" w:lineRule="exact"/>
      <w:jc w:val="left"/>
    </w:pPr>
    <w:rPr>
      <w:rFonts w:ascii="宋体" w:hAnsi="宋体"/>
      <w:b/>
      <w:kern w:val="0"/>
      <w:sz w:val="28"/>
      <w:szCs w:val="28"/>
    </w:rPr>
  </w:style>
  <w:style w:type="paragraph" w:customStyle="1" w:styleId="489">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0">
    <w:name w:val="Style11"/>
    <w:basedOn w:val="1"/>
    <w:autoRedefine/>
    <w:qFormat/>
    <w:uiPriority w:val="0"/>
    <w:pPr>
      <w:adjustRightInd w:val="0"/>
      <w:spacing w:line="446" w:lineRule="exact"/>
      <w:jc w:val="left"/>
    </w:pPr>
    <w:rPr>
      <w:rFonts w:ascii="宋体"/>
      <w:kern w:val="0"/>
      <w:sz w:val="24"/>
    </w:rPr>
  </w:style>
  <w:style w:type="paragraph" w:customStyle="1" w:styleId="49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2">
    <w:name w:val="默认段落字体 Para Char Char Char Char Char Char Char Char Char1 Char Char Char Char Char Char Char"/>
    <w:basedOn w:val="19"/>
    <w:autoRedefine/>
    <w:qFormat/>
    <w:uiPriority w:val="0"/>
    <w:rPr>
      <w:rFonts w:ascii="Tahoma" w:hAnsi="Tahoma"/>
      <w:sz w:val="24"/>
    </w:rPr>
  </w:style>
  <w:style w:type="paragraph" w:customStyle="1" w:styleId="493">
    <w:name w:val="章标题"/>
    <w:next w:val="156"/>
    <w:autoRedefine/>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4">
    <w:name w:val="xl3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5">
    <w:name w:val="正文_7_1_0"/>
    <w:autoRedefine/>
    <w:qFormat/>
    <w:uiPriority w:val="0"/>
    <w:pPr>
      <w:widowControl w:val="0"/>
      <w:jc w:val="both"/>
    </w:pPr>
    <w:rPr>
      <w:rFonts w:ascii="Times New Roman" w:hAnsi="Times New Roman" w:eastAsia="宋体" w:cs="Times New Roman"/>
      <w:lang w:val="en-US" w:eastAsia="zh-CN" w:bidi="ar-SA"/>
    </w:rPr>
  </w:style>
  <w:style w:type="paragraph" w:customStyle="1" w:styleId="49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表"/>
    <w:basedOn w:val="1"/>
    <w:autoRedefine/>
    <w:qFormat/>
    <w:uiPriority w:val="0"/>
    <w:pPr>
      <w:adjustRightInd w:val="0"/>
      <w:snapToGrid w:val="0"/>
      <w:spacing w:line="312" w:lineRule="auto"/>
    </w:pPr>
    <w:rPr>
      <w:rFonts w:ascii="Calibri" w:hAnsi="Calibri" w:cs="宋体"/>
      <w:kern w:val="0"/>
      <w:szCs w:val="20"/>
    </w:rPr>
  </w:style>
  <w:style w:type="character" w:customStyle="1" w:styleId="498">
    <w:name w:val="未处理的提及"/>
    <w:autoRedefine/>
    <w:unhideWhenUsed/>
    <w:qFormat/>
    <w:uiPriority w:val="99"/>
    <w:rPr>
      <w:color w:val="605E5C"/>
      <w:shd w:val="clear" w:color="auto" w:fill="E1DFDD"/>
    </w:rPr>
  </w:style>
  <w:style w:type="character" w:customStyle="1" w:styleId="499">
    <w:name w:val="Char Char14"/>
    <w:autoRedefine/>
    <w:qFormat/>
    <w:uiPriority w:val="0"/>
    <w:rPr>
      <w:rFonts w:eastAsia="宋体"/>
      <w:b/>
      <w:bCs/>
      <w:kern w:val="44"/>
      <w:sz w:val="44"/>
      <w:szCs w:val="44"/>
      <w:lang w:val="en-US" w:eastAsia="zh-CN" w:bidi="ar-SA"/>
    </w:rPr>
  </w:style>
  <w:style w:type="character" w:customStyle="1" w:styleId="500">
    <w:name w:val="正文文本 3 字符"/>
    <w:autoRedefine/>
    <w:qFormat/>
    <w:uiPriority w:val="0"/>
    <w:rPr>
      <w:rFonts w:ascii="宋体"/>
      <w:kern w:val="2"/>
      <w:sz w:val="24"/>
    </w:rPr>
  </w:style>
  <w:style w:type="character" w:customStyle="1" w:styleId="501">
    <w:name w:val="样式 宋体 小四2"/>
    <w:autoRedefine/>
    <w:qFormat/>
    <w:uiPriority w:val="0"/>
    <w:rPr>
      <w:rFonts w:ascii="宋体" w:hAnsi="宋体"/>
      <w:kern w:val="0"/>
      <w:sz w:val="28"/>
    </w:rPr>
  </w:style>
  <w:style w:type="character" w:customStyle="1" w:styleId="502">
    <w:name w:val="样式 黑体 小二"/>
    <w:autoRedefine/>
    <w:qFormat/>
    <w:uiPriority w:val="0"/>
    <w:rPr>
      <w:rFonts w:ascii="黑体" w:hAnsi="黑体" w:eastAsia="黑体"/>
      <w:sz w:val="36"/>
    </w:rPr>
  </w:style>
  <w:style w:type="character" w:customStyle="1" w:styleId="503">
    <w:name w:val="样式 宋体 小四 加粗"/>
    <w:autoRedefine/>
    <w:qFormat/>
    <w:uiPriority w:val="0"/>
    <w:rPr>
      <w:rFonts w:ascii="宋体" w:hAnsi="宋体"/>
      <w:b/>
      <w:bCs/>
      <w:sz w:val="28"/>
    </w:rPr>
  </w:style>
  <w:style w:type="character" w:customStyle="1" w:styleId="504">
    <w:name w:val="普通文字 Char3"/>
    <w:autoRedefine/>
    <w:qFormat/>
    <w:uiPriority w:val="0"/>
    <w:rPr>
      <w:rFonts w:ascii="宋体" w:hAnsi="Courier New" w:eastAsia="宋体"/>
      <w:kern w:val="2"/>
      <w:sz w:val="21"/>
      <w:szCs w:val="21"/>
      <w:lang w:val="en-US" w:eastAsia="zh-CN" w:bidi="ar-SA"/>
    </w:rPr>
  </w:style>
  <w:style w:type="character" w:customStyle="1" w:styleId="505">
    <w:name w:val="Char Char31"/>
    <w:autoRedefine/>
    <w:qFormat/>
    <w:uiPriority w:val="0"/>
    <w:rPr>
      <w:kern w:val="2"/>
      <w:sz w:val="18"/>
    </w:rPr>
  </w:style>
  <w:style w:type="character" w:customStyle="1" w:styleId="506">
    <w:name w:val="标题 2 Char Char"/>
    <w:autoRedefine/>
    <w:qFormat/>
    <w:uiPriority w:val="0"/>
    <w:rPr>
      <w:rFonts w:ascii="Arial" w:hAnsi="Arial" w:eastAsia="黑体"/>
      <w:b/>
      <w:bCs/>
      <w:kern w:val="2"/>
      <w:sz w:val="32"/>
      <w:szCs w:val="32"/>
      <w:lang w:val="en-US" w:eastAsia="zh-CN" w:bidi="ar-SA"/>
    </w:rPr>
  </w:style>
  <w:style w:type="character" w:customStyle="1" w:styleId="507">
    <w:name w:val="正文文本 Char Char"/>
    <w:autoRedefine/>
    <w:qFormat/>
    <w:uiPriority w:val="0"/>
    <w:rPr>
      <w:rFonts w:ascii="宋体" w:eastAsia="宋体"/>
      <w:kern w:val="2"/>
      <w:sz w:val="30"/>
      <w:lang w:val="en-US" w:eastAsia="zh-CN" w:bidi="ar-SA"/>
    </w:rPr>
  </w:style>
  <w:style w:type="character" w:customStyle="1" w:styleId="508">
    <w:name w:val="样式 (西文) 仿宋_GB2312 小四"/>
    <w:autoRedefine/>
    <w:qFormat/>
    <w:uiPriority w:val="0"/>
    <w:rPr>
      <w:rFonts w:ascii="Times New Roman" w:hAnsi="Times New Roman" w:eastAsia="宋体"/>
      <w:sz w:val="24"/>
      <w:szCs w:val="24"/>
    </w:rPr>
  </w:style>
  <w:style w:type="character" w:customStyle="1" w:styleId="509">
    <w:name w:val="正文2 Char"/>
    <w:link w:val="510"/>
    <w:autoRedefine/>
    <w:qFormat/>
    <w:uiPriority w:val="0"/>
    <w:rPr>
      <w:rFonts w:ascii="宋体" w:hAnsi="宋体"/>
      <w:kern w:val="2"/>
      <w:sz w:val="24"/>
      <w:szCs w:val="24"/>
    </w:rPr>
  </w:style>
  <w:style w:type="paragraph" w:customStyle="1" w:styleId="510">
    <w:name w:val="正文21"/>
    <w:basedOn w:val="1"/>
    <w:link w:val="509"/>
    <w:autoRedefine/>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1">
    <w:name w:val="样式 样式 (西文) 仿宋_GB2312 小四 + 加粗"/>
    <w:autoRedefine/>
    <w:qFormat/>
    <w:uiPriority w:val="0"/>
    <w:rPr>
      <w:rFonts w:ascii="Times New Roman" w:hAnsi="Times New Roman" w:eastAsia="宋体"/>
      <w:b/>
      <w:bCs/>
      <w:sz w:val="28"/>
      <w:szCs w:val="24"/>
    </w:rPr>
  </w:style>
  <w:style w:type="character" w:customStyle="1" w:styleId="512">
    <w:name w:val="Char Char12"/>
    <w:autoRedefine/>
    <w:qFormat/>
    <w:uiPriority w:val="0"/>
    <w:rPr>
      <w:rFonts w:eastAsia="宋体"/>
      <w:b/>
      <w:bCs/>
      <w:kern w:val="44"/>
      <w:sz w:val="44"/>
      <w:szCs w:val="44"/>
      <w:lang w:val="en-US" w:eastAsia="zh-CN" w:bidi="ar-SA"/>
    </w:rPr>
  </w:style>
  <w:style w:type="character" w:customStyle="1" w:styleId="513">
    <w:name w:val="high-light-bg"/>
    <w:autoRedefine/>
    <w:qFormat/>
    <w:uiPriority w:val="0"/>
  </w:style>
  <w:style w:type="character" w:customStyle="1" w:styleId="514">
    <w:name w:val="样式 Char Char"/>
    <w:link w:val="515"/>
    <w:autoRedefine/>
    <w:qFormat/>
    <w:uiPriority w:val="0"/>
    <w:rPr>
      <w:rFonts w:ascii="宋体"/>
      <w:sz w:val="28"/>
      <w:szCs w:val="28"/>
    </w:rPr>
  </w:style>
  <w:style w:type="paragraph" w:customStyle="1" w:styleId="515">
    <w:name w:val="样式"/>
    <w:basedOn w:val="1"/>
    <w:next w:val="48"/>
    <w:link w:val="514"/>
    <w:autoRedefine/>
    <w:qFormat/>
    <w:uiPriority w:val="0"/>
    <w:pPr>
      <w:adjustRightInd w:val="0"/>
      <w:ind w:firstLine="564"/>
      <w:textAlignment w:val="baseline"/>
    </w:pPr>
    <w:rPr>
      <w:rFonts w:ascii="宋体"/>
      <w:kern w:val="0"/>
      <w:sz w:val="28"/>
      <w:szCs w:val="28"/>
    </w:rPr>
  </w:style>
  <w:style w:type="character" w:customStyle="1" w:styleId="516">
    <w:name w:val="样式 宋体 小四 加粗1"/>
    <w:autoRedefine/>
    <w:qFormat/>
    <w:uiPriority w:val="0"/>
    <w:rPr>
      <w:rFonts w:ascii="宋体" w:hAnsi="宋体"/>
      <w:b/>
      <w:bCs/>
      <w:sz w:val="28"/>
    </w:rPr>
  </w:style>
  <w:style w:type="character" w:customStyle="1" w:styleId="517">
    <w:name w:val="样式 宋体 小四1"/>
    <w:autoRedefine/>
    <w:qFormat/>
    <w:uiPriority w:val="0"/>
    <w:rPr>
      <w:rFonts w:ascii="宋体" w:hAnsi="宋体"/>
      <w:sz w:val="28"/>
    </w:rPr>
  </w:style>
  <w:style w:type="character" w:customStyle="1" w:styleId="518">
    <w:name w:val="正 文 1 Char"/>
    <w:autoRedefine/>
    <w:qFormat/>
    <w:uiPriority w:val="0"/>
    <w:rPr>
      <w:rFonts w:ascii="宋体" w:hAnsi="Courier New" w:eastAsia="宋体" w:cs="Courier New"/>
      <w:kern w:val="2"/>
      <w:sz w:val="21"/>
      <w:szCs w:val="21"/>
      <w:lang w:val="en-US" w:eastAsia="zh-CN" w:bidi="ar-SA"/>
    </w:rPr>
  </w:style>
  <w:style w:type="character" w:customStyle="1" w:styleId="519">
    <w:name w:val="样式 宋体 小四"/>
    <w:autoRedefine/>
    <w:qFormat/>
    <w:uiPriority w:val="0"/>
    <w:rPr>
      <w:rFonts w:ascii="宋体" w:hAnsi="宋体"/>
      <w:sz w:val="28"/>
    </w:rPr>
  </w:style>
  <w:style w:type="character" w:customStyle="1" w:styleId="520">
    <w:name w:val="font161"/>
    <w:autoRedefine/>
    <w:qFormat/>
    <w:uiPriority w:val="0"/>
    <w:rPr>
      <w:b/>
      <w:bCs/>
      <w:sz w:val="32"/>
      <w:szCs w:val="32"/>
    </w:rPr>
  </w:style>
  <w:style w:type="character" w:customStyle="1" w:styleId="521">
    <w:name w:val="标题1　样式 宋体 小三 加粗"/>
    <w:autoRedefine/>
    <w:qFormat/>
    <w:uiPriority w:val="0"/>
    <w:rPr>
      <w:rFonts w:ascii="宋体" w:hAnsi="宋体" w:eastAsia="黑体"/>
      <w:b/>
      <w:bCs/>
      <w:kern w:val="44"/>
      <w:sz w:val="30"/>
      <w:szCs w:val="44"/>
      <w:lang w:val="en-US" w:eastAsia="zh-CN" w:bidi="ar-SA"/>
    </w:rPr>
  </w:style>
  <w:style w:type="paragraph" w:customStyle="1" w:styleId="522">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3">
    <w:name w:val="ordinary-output"/>
    <w:basedOn w:val="1"/>
    <w:autoRedefine/>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4">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5">
    <w:name w:val="_Style 526"/>
    <w:basedOn w:val="1"/>
    <w:next w:val="1"/>
    <w:autoRedefine/>
    <w:qFormat/>
    <w:uiPriority w:val="39"/>
    <w:pPr>
      <w:ind w:left="420"/>
      <w:jc w:val="left"/>
    </w:pPr>
    <w:rPr>
      <w:i/>
      <w:iCs/>
      <w:sz w:val="20"/>
      <w:szCs w:val="20"/>
    </w:rPr>
  </w:style>
  <w:style w:type="paragraph" w:customStyle="1" w:styleId="526">
    <w:name w:val="TOC 标题1"/>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7">
    <w:name w:val="格式3"/>
    <w:basedOn w:val="1"/>
    <w:autoRedefine/>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28">
    <w:name w:val="标题 2 + Times New Roman 居中 段前: 0 磅 段后: 0 磅 行距: 单倍行距 + 段前..."/>
    <w:basedOn w:val="1"/>
    <w:autoRedefine/>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29">
    <w:name w:val="Char Char Char Char Char Char"/>
    <w:basedOn w:val="1"/>
    <w:autoRedefine/>
    <w:qFormat/>
    <w:uiPriority w:val="0"/>
  </w:style>
  <w:style w:type="paragraph" w:customStyle="1" w:styleId="530">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1">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2">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3">
    <w:name w:val="xl9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4">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xl46"/>
    <w:basedOn w:val="1"/>
    <w:autoRedefine/>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38">
    <w:name w:val="标题2(技术规范)"/>
    <w:basedOn w:val="6"/>
    <w:next w:val="24"/>
    <w:autoRedefine/>
    <w:qFormat/>
    <w:uiPriority w:val="0"/>
    <w:pPr>
      <w:adjustRightInd w:val="0"/>
      <w:snapToGrid w:val="0"/>
      <w:spacing w:beforeLines="50" w:afterLines="25" w:line="480" w:lineRule="exact"/>
      <w:jc w:val="center"/>
      <w:outlineLvl w:val="3"/>
    </w:pPr>
    <w:rPr>
      <w:kern w:val="2"/>
      <w:szCs w:val="24"/>
    </w:rPr>
  </w:style>
  <w:style w:type="paragraph" w:customStyle="1" w:styleId="539">
    <w:name w:val="xl4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2">
    <w:name w:val="目录1"/>
    <w:basedOn w:val="1"/>
    <w:autoRedefine/>
    <w:qFormat/>
    <w:uiPriority w:val="0"/>
    <w:pPr>
      <w:adjustRightInd w:val="0"/>
      <w:spacing w:line="420" w:lineRule="atLeast"/>
      <w:textAlignment w:val="baseline"/>
    </w:pPr>
    <w:rPr>
      <w:rFonts w:eastAsia="黑体"/>
      <w:b/>
      <w:kern w:val="0"/>
      <w:szCs w:val="20"/>
    </w:rPr>
  </w:style>
  <w:style w:type="paragraph" w:customStyle="1" w:styleId="543">
    <w:name w:val="表1"/>
    <w:basedOn w:val="1"/>
    <w:autoRedefine/>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4">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5">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6">
    <w:name w:val="正正文"/>
    <w:basedOn w:val="1"/>
    <w:autoRedefine/>
    <w:qFormat/>
    <w:uiPriority w:val="0"/>
    <w:pPr>
      <w:spacing w:line="360" w:lineRule="auto"/>
      <w:ind w:firstLine="480" w:firstLineChars="200"/>
    </w:pPr>
    <w:rPr>
      <w:rFonts w:ascii="宋体" w:hAnsi="宋体"/>
      <w:kern w:val="0"/>
      <w:sz w:val="24"/>
    </w:rPr>
  </w:style>
  <w:style w:type="paragraph" w:customStyle="1" w:styleId="547">
    <w:name w:val="表格6"/>
    <w:basedOn w:val="1"/>
    <w:autoRedefine/>
    <w:qFormat/>
    <w:uiPriority w:val="0"/>
    <w:pPr>
      <w:adjustRightInd w:val="0"/>
      <w:spacing w:line="420" w:lineRule="atLeast"/>
      <w:ind w:left="737"/>
      <w:textAlignment w:val="baseline"/>
    </w:pPr>
    <w:rPr>
      <w:rFonts w:ascii="宋体"/>
      <w:kern w:val="0"/>
      <w:szCs w:val="20"/>
    </w:rPr>
  </w:style>
  <w:style w:type="paragraph" w:customStyle="1" w:styleId="548">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49">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0">
    <w:name w:val="xl54"/>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1">
    <w:name w:val="格式5"/>
    <w:basedOn w:val="1"/>
    <w:autoRedefine/>
    <w:qFormat/>
    <w:uiPriority w:val="0"/>
    <w:pPr>
      <w:spacing w:line="420" w:lineRule="exact"/>
      <w:ind w:left="105" w:leftChars="50" w:firstLine="480" w:firstLineChars="200"/>
    </w:pPr>
    <w:rPr>
      <w:rFonts w:ascii="宋体" w:hAnsi="宋体"/>
      <w:color w:val="000000"/>
      <w:sz w:val="24"/>
      <w:szCs w:val="20"/>
    </w:rPr>
  </w:style>
  <w:style w:type="paragraph" w:customStyle="1" w:styleId="552">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3">
    <w:name w:val="font23"/>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4">
    <w:name w:val="Char Char Char1 Char Char Char Char Char Char Char Char Char Char Char Char Char Char Char Char Char Char Char"/>
    <w:basedOn w:val="1"/>
    <w:autoRedefine/>
    <w:qFormat/>
    <w:uiPriority w:val="0"/>
  </w:style>
  <w:style w:type="paragraph" w:customStyle="1" w:styleId="555">
    <w:name w:val="Char1 Char Char Char1"/>
    <w:basedOn w:val="1"/>
    <w:autoRedefine/>
    <w:qFormat/>
    <w:uiPriority w:val="0"/>
    <w:rPr>
      <w:rFonts w:ascii="Tahoma" w:hAnsi="Tahoma"/>
      <w:sz w:val="24"/>
      <w:szCs w:val="20"/>
    </w:rPr>
  </w:style>
  <w:style w:type="paragraph" w:customStyle="1" w:styleId="556">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57">
    <w:name w:val="xl97"/>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8">
    <w:name w:val="xl8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59">
    <w:name w:val="Char Char Char Char Char Char Char Char Char Char Char Char Char Char Char Char Char Char Char Char Char Char Char Char Char"/>
    <w:basedOn w:val="1"/>
    <w:autoRedefine/>
    <w:qFormat/>
    <w:uiPriority w:val="0"/>
  </w:style>
  <w:style w:type="paragraph" w:customStyle="1" w:styleId="560">
    <w:name w:val="font12"/>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1">
    <w:name w:val="格式4"/>
    <w:basedOn w:val="1"/>
    <w:autoRedefine/>
    <w:qFormat/>
    <w:uiPriority w:val="0"/>
    <w:pPr>
      <w:spacing w:line="420" w:lineRule="exact"/>
      <w:ind w:left="990" w:leftChars="300" w:hanging="360" w:hangingChars="150"/>
    </w:pPr>
    <w:rPr>
      <w:rFonts w:ascii="宋体" w:hAnsi="宋体"/>
      <w:color w:val="000000"/>
      <w:sz w:val="24"/>
      <w:szCs w:val="20"/>
    </w:rPr>
  </w:style>
  <w:style w:type="paragraph" w:customStyle="1" w:styleId="56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3">
    <w:name w:val="xl49"/>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4">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565">
    <w:name w:val="样式 宋体 小四 首行缩进:  0.99 厘米 行距: 固定值 30 磅"/>
    <w:basedOn w:val="1"/>
    <w:autoRedefine/>
    <w:qFormat/>
    <w:uiPriority w:val="0"/>
    <w:pPr>
      <w:spacing w:line="600" w:lineRule="exact"/>
      <w:ind w:firstLine="560"/>
    </w:pPr>
    <w:rPr>
      <w:rFonts w:ascii="宋体" w:hAnsi="宋体" w:cs="宋体"/>
      <w:sz w:val="28"/>
      <w:szCs w:val="20"/>
    </w:rPr>
  </w:style>
  <w:style w:type="paragraph" w:customStyle="1" w:styleId="566">
    <w:name w:val="Char Char Char Char11"/>
    <w:basedOn w:val="1"/>
    <w:autoRedefine/>
    <w:qFormat/>
    <w:uiPriority w:val="0"/>
  </w:style>
  <w:style w:type="paragraph" w:customStyle="1" w:styleId="567">
    <w:name w:val="Char Char5 Char Char"/>
    <w:basedOn w:val="1"/>
    <w:autoRedefine/>
    <w:qFormat/>
    <w:uiPriority w:val="0"/>
    <w:pPr>
      <w:spacing w:line="360" w:lineRule="auto"/>
      <w:ind w:firstLine="200" w:firstLineChars="200"/>
    </w:pPr>
    <w:rPr>
      <w:rFonts w:ascii="宋体" w:hAnsi="宋体" w:cs="宋体"/>
      <w:sz w:val="24"/>
    </w:rPr>
  </w:style>
  <w:style w:type="paragraph" w:customStyle="1" w:styleId="568">
    <w:name w:val="xl51"/>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69">
    <w:name w:val="xl118"/>
    <w:basedOn w:val="1"/>
    <w:autoRedefine/>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0">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1">
    <w:name w:val="xl111"/>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2">
    <w:name w:val="xl45"/>
    <w:basedOn w:val="1"/>
    <w:autoRedefine/>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3">
    <w:name w:val="格式2"/>
    <w:autoRedefine/>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4">
    <w:name w:val="xl52"/>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7">
    <w:name w:val="默认段落字体 Para Char Char Char Char"/>
    <w:basedOn w:val="1"/>
    <w:autoRedefine/>
    <w:qFormat/>
    <w:uiPriority w:val="0"/>
  </w:style>
  <w:style w:type="paragraph" w:customStyle="1" w:styleId="578">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79">
    <w:name w:val="xl124"/>
    <w:basedOn w:val="1"/>
    <w:autoRedefine/>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0">
    <w:name w:val="font1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1">
    <w:name w:val="flName"/>
    <w:basedOn w:val="582"/>
    <w:autoRedefine/>
    <w:qFormat/>
    <w:uiPriority w:val="0"/>
    <w:rPr>
      <w:sz w:val="32"/>
    </w:rPr>
  </w:style>
  <w:style w:type="paragraph" w:customStyle="1" w:styleId="582">
    <w:name w:val="flNote"/>
    <w:basedOn w:val="1"/>
    <w:autoRedefine/>
    <w:qFormat/>
    <w:uiPriority w:val="0"/>
    <w:pPr>
      <w:spacing w:before="320" w:after="160"/>
      <w:jc w:val="center"/>
    </w:pPr>
    <w:rPr>
      <w:rFonts w:ascii="Arial" w:eastAsia="黑体"/>
      <w:sz w:val="30"/>
    </w:rPr>
  </w:style>
  <w:style w:type="paragraph" w:customStyle="1" w:styleId="583">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584">
    <w:name w:val="def正文"/>
    <w:basedOn w:val="24"/>
    <w:autoRedefine/>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6">
    <w:name w:val="xl11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7">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89">
    <w:name w:val="标题3"/>
    <w:basedOn w:val="1"/>
    <w:next w:val="1"/>
    <w:autoRedefine/>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2">
    <w:name w:val="xl90"/>
    <w:basedOn w:val="1"/>
    <w:autoRedefine/>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4">
    <w:name w:val="xl23"/>
    <w:basedOn w:val="1"/>
    <w:autoRedefine/>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5">
    <w:name w:val="xl50"/>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6">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7">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98">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99">
    <w:name w:val="样式 标题 2 + 首行缩进:  2 字符 段前: 1 行 段后: 0.5 行"/>
    <w:basedOn w:val="3"/>
    <w:autoRedefine/>
    <w:qFormat/>
    <w:uiPriority w:val="0"/>
    <w:pPr>
      <w:snapToGrid w:val="0"/>
      <w:spacing w:beforeLines="100" w:afterLines="50" w:line="336" w:lineRule="auto"/>
    </w:pPr>
    <w:rPr>
      <w:rFonts w:ascii="Arial" w:hAnsi="Arial" w:eastAsia="黑体" w:cs="宋体"/>
      <w:kern w:val="2"/>
      <w:sz w:val="28"/>
      <w:szCs w:val="20"/>
    </w:rPr>
  </w:style>
  <w:style w:type="paragraph" w:customStyle="1" w:styleId="600">
    <w:name w:val="font16"/>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1">
    <w:name w:val="样式 标题 1 + 首行缩进:  2 字符 段前: 1 行 段后: 1 行"/>
    <w:basedOn w:val="2"/>
    <w:autoRedefine/>
    <w:qFormat/>
    <w:uiPriority w:val="0"/>
    <w:pPr>
      <w:snapToGrid w:val="0"/>
      <w:spacing w:beforeLines="100" w:afterLines="100" w:line="336" w:lineRule="auto"/>
      <w:jc w:val="center"/>
    </w:pPr>
    <w:rPr>
      <w:rFonts w:ascii="Arial" w:hAnsi="Arial" w:eastAsia="黑体" w:cs="宋体"/>
      <w:sz w:val="30"/>
      <w:szCs w:val="20"/>
    </w:rPr>
  </w:style>
  <w:style w:type="paragraph" w:customStyle="1" w:styleId="602">
    <w:name w:val="xl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3">
    <w:name w:val="1"/>
    <w:basedOn w:val="1"/>
    <w:next w:val="1"/>
    <w:autoRedefine/>
    <w:qFormat/>
    <w:uiPriority w:val="0"/>
  </w:style>
  <w:style w:type="paragraph" w:customStyle="1" w:styleId="604">
    <w:name w:val="Char Char Char Char2"/>
    <w:basedOn w:val="1"/>
    <w:autoRedefine/>
    <w:qFormat/>
    <w:uiPriority w:val="0"/>
  </w:style>
  <w:style w:type="paragraph" w:customStyle="1" w:styleId="6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6">
    <w:name w:val="font18"/>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7">
    <w:name w:val="正文文字2"/>
    <w:basedOn w:val="1"/>
    <w:autoRedefine/>
    <w:qFormat/>
    <w:uiPriority w:val="0"/>
    <w:pPr>
      <w:spacing w:before="50" w:line="440" w:lineRule="exact"/>
      <w:ind w:left="851"/>
    </w:pPr>
    <w:rPr>
      <w:sz w:val="24"/>
      <w:szCs w:val="20"/>
    </w:rPr>
  </w:style>
  <w:style w:type="paragraph" w:customStyle="1" w:styleId="608">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09">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0">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1">
    <w:name w:val="xl4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2">
    <w:name w:val="font1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13">
    <w:name w:val="二级标题"/>
    <w:basedOn w:val="1"/>
    <w:autoRedefine/>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4">
    <w:name w:val="纯文本1"/>
    <w:basedOn w:val="1"/>
    <w:autoRedefine/>
    <w:qFormat/>
    <w:uiPriority w:val="0"/>
    <w:pPr>
      <w:adjustRightInd w:val="0"/>
      <w:textAlignment w:val="baseline"/>
    </w:pPr>
    <w:rPr>
      <w:rFonts w:ascii="宋体" w:hAnsi="Courier New"/>
      <w:szCs w:val="20"/>
    </w:rPr>
  </w:style>
  <w:style w:type="paragraph" w:customStyle="1" w:styleId="615">
    <w:name w:val="表中"/>
    <w:basedOn w:val="1"/>
    <w:autoRedefine/>
    <w:qFormat/>
    <w:uiPriority w:val="0"/>
    <w:pPr>
      <w:adjustRightInd w:val="0"/>
      <w:spacing w:line="360" w:lineRule="atLeast"/>
      <w:jc w:val="center"/>
      <w:textAlignment w:val="baseline"/>
    </w:pPr>
    <w:rPr>
      <w:kern w:val="0"/>
      <w:szCs w:val="20"/>
    </w:rPr>
  </w:style>
  <w:style w:type="paragraph" w:customStyle="1" w:styleId="616">
    <w:name w:val="表名A"/>
    <w:basedOn w:val="1"/>
    <w:autoRedefine/>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7">
    <w:name w:val="xl4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1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9">
    <w:name w:val="Char Char Char1 Char Char Char Char Char Char Char Char Char Char Char Char Char Char Char Char Char Char Char1"/>
    <w:basedOn w:val="1"/>
    <w:autoRedefine/>
    <w:qFormat/>
    <w:uiPriority w:val="0"/>
    <w:rPr>
      <w:szCs w:val="21"/>
    </w:rPr>
  </w:style>
  <w:style w:type="paragraph" w:customStyle="1" w:styleId="620">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2">
    <w:name w:val="font10"/>
    <w:basedOn w:val="1"/>
    <w:autoRedefine/>
    <w:qFormat/>
    <w:uiPriority w:val="0"/>
    <w:pPr>
      <w:widowControl/>
      <w:spacing w:before="100" w:beforeAutospacing="1" w:after="100" w:afterAutospacing="1"/>
      <w:jc w:val="left"/>
    </w:pPr>
    <w:rPr>
      <w:rFonts w:eastAsia="Arial Unicode MS"/>
      <w:kern w:val="0"/>
      <w:sz w:val="44"/>
      <w:szCs w:val="44"/>
    </w:rPr>
  </w:style>
  <w:style w:type="paragraph" w:customStyle="1" w:styleId="623">
    <w:name w:val="格式1"/>
    <w:basedOn w:val="1"/>
    <w:autoRedefine/>
    <w:qFormat/>
    <w:uiPriority w:val="0"/>
    <w:pPr>
      <w:spacing w:beforeLines="50"/>
      <w:jc w:val="center"/>
    </w:pPr>
    <w:rPr>
      <w:rFonts w:ascii="黑体" w:hAnsi="宋体" w:eastAsia="黑体"/>
      <w:b/>
      <w:bCs/>
      <w:color w:val="000000"/>
      <w:sz w:val="32"/>
      <w:szCs w:val="20"/>
    </w:rPr>
  </w:style>
  <w:style w:type="paragraph" w:customStyle="1" w:styleId="624">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625">
    <w:name w:val="标题 5 + (西文) Arial Narrow"/>
    <w:basedOn w:val="5"/>
    <w:autoRedefine/>
    <w:qFormat/>
    <w:uiPriority w:val="0"/>
    <w:pPr>
      <w:adjustRightInd w:val="0"/>
      <w:snapToGrid w:val="0"/>
      <w:spacing w:beforeLines="100" w:afterLines="100" w:line="360" w:lineRule="auto"/>
      <w:jc w:val="center"/>
    </w:pPr>
    <w:rPr>
      <w:rFonts w:ascii="Arial Narrow" w:hAnsi="Arial Narrow"/>
    </w:rPr>
  </w:style>
  <w:style w:type="paragraph" w:customStyle="1" w:styleId="626">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7">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9">
    <w:name w:val="xl48"/>
    <w:basedOn w:val="1"/>
    <w:autoRedefine/>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0">
    <w:name w:val="表、图签"/>
    <w:basedOn w:val="1"/>
    <w:autoRedefine/>
    <w:qFormat/>
    <w:uiPriority w:val="0"/>
    <w:pPr>
      <w:spacing w:line="360" w:lineRule="auto"/>
      <w:jc w:val="center"/>
    </w:pPr>
    <w:rPr>
      <w:rFonts w:ascii="黑体" w:hAnsi="Arial" w:eastAsia="黑体" w:cs="Arial"/>
      <w:bCs/>
      <w:sz w:val="24"/>
      <w:szCs w:val="32"/>
    </w:rPr>
  </w:style>
  <w:style w:type="paragraph" w:customStyle="1" w:styleId="631">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2">
    <w:name w:val="小标题2"/>
    <w:basedOn w:val="1"/>
    <w:next w:val="1"/>
    <w:autoRedefine/>
    <w:qFormat/>
    <w:uiPriority w:val="0"/>
    <w:pPr>
      <w:spacing w:line="300" w:lineRule="auto"/>
      <w:ind w:firstLine="200" w:firstLineChars="200"/>
    </w:pPr>
    <w:rPr>
      <w:sz w:val="24"/>
    </w:rPr>
  </w:style>
  <w:style w:type="paragraph" w:customStyle="1" w:styleId="633">
    <w:name w:val="表头文字"/>
    <w:basedOn w:val="1"/>
    <w:next w:val="1"/>
    <w:autoRedefine/>
    <w:qFormat/>
    <w:uiPriority w:val="0"/>
    <w:pPr>
      <w:adjustRightInd w:val="0"/>
      <w:snapToGrid w:val="0"/>
      <w:spacing w:before="100" w:after="50" w:line="440" w:lineRule="exact"/>
      <w:jc w:val="center"/>
    </w:pPr>
    <w:rPr>
      <w:rFonts w:eastAsia="黑体"/>
      <w:b/>
      <w:bCs/>
      <w:sz w:val="28"/>
      <w:szCs w:val="28"/>
    </w:rPr>
  </w:style>
  <w:style w:type="paragraph" w:customStyle="1" w:styleId="634">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5">
    <w:name w:val="xl98"/>
    <w:basedOn w:val="1"/>
    <w:autoRedefine/>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6">
    <w:name w:val="Char13"/>
    <w:basedOn w:val="1"/>
    <w:autoRedefine/>
    <w:qFormat/>
    <w:uiPriority w:val="0"/>
  </w:style>
  <w:style w:type="paragraph" w:customStyle="1" w:styleId="63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8">
    <w:name w:val="正文A"/>
    <w:autoRedefine/>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39">
    <w:name w:val="格式10"/>
    <w:basedOn w:val="1"/>
    <w:autoRedefine/>
    <w:qFormat/>
    <w:uiPriority w:val="0"/>
    <w:pPr>
      <w:spacing w:line="360" w:lineRule="exact"/>
      <w:ind w:left="480"/>
    </w:pPr>
    <w:rPr>
      <w:sz w:val="24"/>
    </w:rPr>
  </w:style>
  <w:style w:type="paragraph" w:customStyle="1" w:styleId="640">
    <w:name w:val="font11"/>
    <w:basedOn w:val="1"/>
    <w:autoRedefine/>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3">
    <w:name w:val="xl53"/>
    <w:basedOn w:val="1"/>
    <w:autoRedefine/>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4">
    <w:name w:val="font22"/>
    <w:basedOn w:val="1"/>
    <w:autoRedefine/>
    <w:qFormat/>
    <w:uiPriority w:val="0"/>
    <w:pPr>
      <w:widowControl/>
      <w:spacing w:before="100" w:beforeAutospacing="1" w:after="100" w:afterAutospacing="1"/>
      <w:jc w:val="left"/>
    </w:pPr>
    <w:rPr>
      <w:rFonts w:ascii="Calibri" w:hAnsi="Calibri" w:cs="Calibri"/>
      <w:b/>
      <w:bCs/>
      <w:kern w:val="0"/>
      <w:szCs w:val="21"/>
    </w:rPr>
  </w:style>
  <w:style w:type="paragraph" w:customStyle="1" w:styleId="645">
    <w:name w:val="Char Char Char1"/>
    <w:basedOn w:val="1"/>
    <w:autoRedefine/>
    <w:qFormat/>
    <w:uiPriority w:val="0"/>
  </w:style>
  <w:style w:type="paragraph" w:customStyle="1" w:styleId="646">
    <w:name w:val="三级条标题1"/>
    <w:basedOn w:val="1"/>
    <w:next w:val="1"/>
    <w:autoRedefine/>
    <w:qFormat/>
    <w:uiPriority w:val="0"/>
    <w:pPr>
      <w:widowControl/>
      <w:ind w:left="900"/>
      <w:jc w:val="left"/>
      <w:outlineLvl w:val="4"/>
    </w:pPr>
    <w:rPr>
      <w:rFonts w:eastAsia="黑体"/>
      <w:kern w:val="0"/>
      <w:szCs w:val="20"/>
    </w:rPr>
  </w:style>
  <w:style w:type="paragraph" w:customStyle="1" w:styleId="64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48">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9">
    <w:name w:val="一级标题"/>
    <w:basedOn w:val="1"/>
    <w:autoRedefine/>
    <w:qFormat/>
    <w:uiPriority w:val="0"/>
    <w:pPr>
      <w:spacing w:beforeLines="50" w:afterLines="50" w:line="360" w:lineRule="auto"/>
      <w:jc w:val="left"/>
    </w:pPr>
    <w:rPr>
      <w:rFonts w:ascii="黑体" w:hAnsi="Arial" w:eastAsia="黑体" w:cs="Arial"/>
      <w:bCs/>
      <w:sz w:val="24"/>
      <w:lang w:val="en-GB"/>
    </w:rPr>
  </w:style>
  <w:style w:type="paragraph" w:customStyle="1" w:styleId="650">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1">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3">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font2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标题3(技术规范)"/>
    <w:basedOn w:val="1"/>
    <w:next w:val="24"/>
    <w:autoRedefine/>
    <w:qFormat/>
    <w:uiPriority w:val="0"/>
    <w:pPr>
      <w:adjustRightInd w:val="0"/>
      <w:snapToGrid w:val="0"/>
      <w:spacing w:beforeLines="15" w:afterLines="15" w:line="440" w:lineRule="exact"/>
      <w:outlineLvl w:val="4"/>
    </w:pPr>
    <w:rPr>
      <w:b/>
      <w:sz w:val="24"/>
    </w:rPr>
  </w:style>
  <w:style w:type="paragraph" w:customStyle="1" w:styleId="65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7">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8">
    <w:name w:val="Char Char Char1 Char"/>
    <w:basedOn w:val="3"/>
    <w:next w:val="1"/>
    <w:autoRedefine/>
    <w:qFormat/>
    <w:uiPriority w:val="0"/>
    <w:pPr>
      <w:snapToGrid w:val="0"/>
      <w:spacing w:before="120" w:after="120" w:line="240" w:lineRule="auto"/>
      <w:jc w:val="left"/>
    </w:pPr>
    <w:rPr>
      <w:rFonts w:ascii="Arial" w:hAnsi="Arial" w:eastAsia="黑体"/>
      <w:bCs w:val="0"/>
      <w:kern w:val="2"/>
      <w:szCs w:val="20"/>
    </w:rPr>
  </w:style>
  <w:style w:type="paragraph" w:customStyle="1" w:styleId="659">
    <w:name w:val="xl1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kern w:val="2"/>
      <w:sz w:val="24"/>
      <w:szCs w:val="20"/>
    </w:rPr>
  </w:style>
  <w:style w:type="paragraph" w:customStyle="1" w:styleId="661">
    <w:name w:val="xl71"/>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2">
    <w:name w:val="标题一"/>
    <w:basedOn w:val="2"/>
    <w:autoRedefine/>
    <w:qFormat/>
    <w:uiPriority w:val="0"/>
    <w:pPr>
      <w:keepNext w:val="0"/>
      <w:adjustRightInd w:val="0"/>
      <w:snapToGrid w:val="0"/>
      <w:spacing w:beforeLines="1600" w:after="0" w:line="240" w:lineRule="auto"/>
      <w:ind w:left="454"/>
      <w:jc w:val="center"/>
    </w:pPr>
  </w:style>
  <w:style w:type="paragraph" w:customStyle="1" w:styleId="66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4">
    <w:name w:val="xl8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65">
    <w:name w:val="小表格内容"/>
    <w:autoRedefine/>
    <w:qFormat/>
    <w:uiPriority w:val="0"/>
    <w:rPr>
      <w:rFonts w:ascii="Arial" w:hAnsi="Arial" w:eastAsia="仿宋_GB2312" w:cs="Times New Roman"/>
      <w:sz w:val="21"/>
      <w:lang w:val="en-US" w:eastAsia="zh-CN" w:bidi="ar-SA"/>
    </w:rPr>
  </w:style>
  <w:style w:type="paragraph" w:customStyle="1" w:styleId="666">
    <w:name w:val="font20"/>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8">
    <w:name w:val="xl125"/>
    <w:basedOn w:val="1"/>
    <w:autoRedefine/>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6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671">
    <w:name w:val="2"/>
    <w:basedOn w:val="1"/>
    <w:next w:val="1"/>
    <w:autoRedefine/>
    <w:qFormat/>
    <w:uiPriority w:val="0"/>
    <w:rPr>
      <w:rFonts w:ascii="宋体"/>
      <w:b/>
      <w:bCs/>
      <w:sz w:val="24"/>
    </w:rPr>
  </w:style>
  <w:style w:type="paragraph" w:customStyle="1" w:styleId="67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3">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4">
    <w:name w:val="xl12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5">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character" w:customStyle="1" w:styleId="676">
    <w:name w:val="页脚 字符"/>
    <w:autoRedefine/>
    <w:qFormat/>
    <w:uiPriority w:val="99"/>
  </w:style>
  <w:style w:type="character" w:customStyle="1" w:styleId="677">
    <w:name w:val="NormalCharacter"/>
    <w:autoRedefine/>
    <w:qFormat/>
    <w:uiPriority w:val="0"/>
  </w:style>
  <w:style w:type="table" w:customStyle="1" w:styleId="678">
    <w:name w:val="网格型2"/>
    <w:basedOn w:val="62"/>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9">
    <w:name w:val="网格型3"/>
    <w:basedOn w:val="62"/>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55C28-267F-49EF-BCCA-18CDFFD08E7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38</Pages>
  <Words>18430</Words>
  <Characters>18952</Characters>
  <Lines>181</Lines>
  <Paragraphs>51</Paragraphs>
  <TotalTime>84</TotalTime>
  <ScaleCrop>false</ScaleCrop>
  <LinksUpToDate>false</LinksUpToDate>
  <CharactersWithSpaces>20377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2022-03-07T11:20:00Z</dcterms:created>
  <dc:creator>tao</dc:creator>
  <cp:lastModifiedBy>养老服务指导中心</cp:lastModifiedBy>
  <cp:lastPrinted>2021-09-29T10:02:00Z</cp:lastPrinted>
  <dcterms:modified xsi:type="dcterms:W3CDTF">2024-09-19T08:33:45Z</dcterms:modified>
  <dc:title>港闸区人民法院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74A5F5495A7749CFBB8C318DD9340B0A_13</vt:lpwstr>
  </property>
</Properties>
</file>