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ind w:firstLine="0"/>
        <w:jc w:val="center"/>
        <w:rPr>
          <w:rFonts w:hint="eastAsia" w:ascii="宋体" w:hAnsi="宋体" w:eastAsia="宋体" w:cs="宋体"/>
          <w:bCs/>
          <w:color w:val="auto"/>
          <w:sz w:val="84"/>
          <w:highlight w:val="none"/>
        </w:rPr>
      </w:pPr>
      <w:bookmarkStart w:id="0" w:name="_Toc120614210"/>
      <w:bookmarkStart w:id="1" w:name="_Toc20823272"/>
      <w:bookmarkStart w:id="2" w:name="_Toc16938516"/>
      <w:bookmarkStart w:id="3" w:name="_Toc523127445"/>
      <w:bookmarkStart w:id="4" w:name="_Toc479757206"/>
      <w:bookmarkStart w:id="5" w:name="_Toc513029200"/>
      <w:r>
        <w:rPr>
          <w:rFonts w:hint="eastAsia" w:ascii="宋体" w:hAnsi="宋体" w:eastAsia="宋体" w:cs="宋体"/>
          <w:bCs/>
          <w:color w:val="auto"/>
          <w:sz w:val="84"/>
          <w:highlight w:val="none"/>
        </w:rPr>
        <w:t>招 标 文 件</w:t>
      </w:r>
    </w:p>
    <w:p>
      <w:pPr>
        <w:pStyle w:val="74"/>
        <w:ind w:firstLine="0"/>
        <w:jc w:val="center"/>
        <w:rPr>
          <w:rFonts w:hint="eastAsia" w:ascii="宋体" w:hAnsi="宋体" w:eastAsia="宋体" w:cs="宋体"/>
          <w:bCs/>
          <w:color w:val="auto"/>
          <w:sz w:val="84"/>
          <w:highlight w:val="none"/>
        </w:rPr>
      </w:pPr>
    </w:p>
    <w:p>
      <w:pPr>
        <w:pStyle w:val="74"/>
        <w:ind w:firstLine="1280" w:firstLineChars="400"/>
        <w:jc w:val="both"/>
        <w:rPr>
          <w:rFonts w:hint="eastAsia" w:ascii="宋体" w:hAnsi="宋体" w:eastAsia="宋体" w:cs="宋体"/>
          <w:bCs/>
          <w:color w:val="auto"/>
          <w:sz w:val="32"/>
          <w:highlight w:val="none"/>
          <w:lang w:val="en-US" w:eastAsia="zh-CN"/>
        </w:rPr>
      </w:pPr>
      <w:r>
        <w:rPr>
          <w:rFonts w:hint="eastAsia" w:ascii="宋体" w:hAnsi="宋体" w:eastAsia="宋体" w:cs="宋体"/>
          <w:bCs/>
          <w:color w:val="auto"/>
          <w:sz w:val="32"/>
          <w:highlight w:val="none"/>
        </w:rPr>
        <w:t>项目名称：</w:t>
      </w:r>
      <w:r>
        <w:rPr>
          <w:rFonts w:hint="eastAsia" w:ascii="宋体" w:hAnsi="宋体" w:eastAsia="宋体" w:cs="宋体"/>
          <w:b/>
          <w:snapToGrid w:val="0"/>
          <w:color w:val="auto"/>
          <w:sz w:val="28"/>
          <w:szCs w:val="28"/>
          <w:highlight w:val="none"/>
          <w:u w:val="single"/>
        </w:rPr>
        <w:t>南通市殡仪馆拣灰炉寿毯采购项目</w:t>
      </w:r>
      <w:r>
        <w:rPr>
          <w:rFonts w:hint="eastAsia" w:ascii="宋体" w:hAnsi="宋体" w:eastAsia="宋体" w:cs="宋体"/>
          <w:b/>
          <w:snapToGrid w:val="0"/>
          <w:color w:val="auto"/>
          <w:sz w:val="28"/>
          <w:szCs w:val="28"/>
          <w:highlight w:val="none"/>
          <w:u w:val="single"/>
          <w:lang w:eastAsia="zh-CN"/>
        </w:rPr>
        <w:t>（</w:t>
      </w:r>
      <w:r>
        <w:rPr>
          <w:rFonts w:hint="eastAsia" w:ascii="宋体" w:hAnsi="宋体" w:cs="宋体"/>
          <w:b/>
          <w:snapToGrid w:val="0"/>
          <w:color w:val="auto"/>
          <w:sz w:val="28"/>
          <w:szCs w:val="28"/>
          <w:highlight w:val="none"/>
          <w:u w:val="single"/>
          <w:lang w:val="en-US" w:eastAsia="zh-CN"/>
        </w:rPr>
        <w:t>三</w:t>
      </w:r>
      <w:r>
        <w:rPr>
          <w:rFonts w:hint="eastAsia" w:ascii="宋体" w:hAnsi="宋体" w:eastAsia="宋体" w:cs="宋体"/>
          <w:b/>
          <w:snapToGrid w:val="0"/>
          <w:color w:val="auto"/>
          <w:sz w:val="28"/>
          <w:szCs w:val="28"/>
          <w:highlight w:val="none"/>
          <w:u w:val="single"/>
          <w:lang w:val="en-US" w:eastAsia="zh-CN"/>
        </w:rPr>
        <w:t>次）</w:t>
      </w:r>
    </w:p>
    <w:p>
      <w:pPr>
        <w:pStyle w:val="74"/>
        <w:ind w:firstLine="1280" w:firstLineChars="400"/>
        <w:rPr>
          <w:rFonts w:hint="eastAsia" w:ascii="宋体" w:hAnsi="宋体" w:eastAsia="宋体" w:cs="宋体"/>
          <w:bCs/>
          <w:color w:val="auto"/>
          <w:sz w:val="32"/>
          <w:highlight w:val="none"/>
          <w:u w:val="single"/>
          <w:lang w:eastAsia="zh-CN"/>
        </w:rPr>
      </w:pPr>
      <w:r>
        <w:rPr>
          <w:rFonts w:hint="eastAsia" w:ascii="宋体" w:hAnsi="宋体" w:eastAsia="宋体" w:cs="宋体"/>
          <w:bCs/>
          <w:color w:val="auto"/>
          <w:sz w:val="32"/>
          <w:highlight w:val="none"/>
        </w:rPr>
        <w:t>项目编号：ZRNT2023041</w:t>
      </w:r>
      <w:r>
        <w:rPr>
          <w:rFonts w:hint="eastAsia" w:ascii="宋体" w:hAnsi="宋体" w:eastAsia="宋体" w:cs="宋体"/>
          <w:bCs/>
          <w:color w:val="auto"/>
          <w:sz w:val="32"/>
          <w:highlight w:val="none"/>
          <w:lang w:val="en-US" w:eastAsia="zh-CN"/>
        </w:rPr>
        <w:t>7</w:t>
      </w:r>
    </w:p>
    <w:p>
      <w:pPr>
        <w:pStyle w:val="74"/>
        <w:spacing w:before="0" w:after="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spacing w:before="0" w:after="0"/>
        <w:ind w:firstLine="0"/>
        <w:rPr>
          <w:rFonts w:hint="eastAsia" w:ascii="宋体" w:hAnsi="宋体" w:eastAsia="宋体" w:cs="宋体"/>
          <w:color w:val="auto"/>
          <w:highlight w:val="none"/>
        </w:rPr>
      </w:pPr>
    </w:p>
    <w:p>
      <w:pPr>
        <w:pStyle w:val="74"/>
        <w:ind w:firstLine="0"/>
        <w:jc w:val="center"/>
        <w:rPr>
          <w:rFonts w:hint="eastAsia" w:ascii="宋体" w:hAnsi="宋体" w:eastAsia="宋体" w:cs="宋体"/>
          <w:b/>
          <w:bCs/>
          <w:color w:val="auto"/>
          <w:sz w:val="32"/>
          <w:highlight w:val="none"/>
        </w:rPr>
      </w:pPr>
    </w:p>
    <w:p>
      <w:pPr>
        <w:pStyle w:val="74"/>
        <w:ind w:firstLine="0"/>
        <w:jc w:val="center"/>
        <w:rPr>
          <w:rFonts w:hint="eastAsia" w:ascii="宋体" w:hAnsi="宋体" w:eastAsia="宋体" w:cs="宋体"/>
          <w:b/>
          <w:bCs/>
          <w:color w:val="auto"/>
          <w:sz w:val="32"/>
          <w:highlight w:val="none"/>
        </w:rPr>
      </w:pPr>
    </w:p>
    <w:p>
      <w:pPr>
        <w:pStyle w:val="74"/>
        <w:ind w:firstLine="0"/>
        <w:jc w:val="center"/>
        <w:rPr>
          <w:rFonts w:hint="eastAsia" w:ascii="宋体" w:hAnsi="宋体" w:eastAsia="宋体" w:cs="宋体"/>
          <w:b/>
          <w:bCs/>
          <w:color w:val="auto"/>
          <w:sz w:val="32"/>
          <w:highlight w:val="none"/>
        </w:rPr>
      </w:pPr>
    </w:p>
    <w:p>
      <w:pPr>
        <w:pStyle w:val="74"/>
        <w:ind w:firstLine="0"/>
        <w:jc w:val="center"/>
        <w:rPr>
          <w:rFonts w:hint="eastAsia" w:ascii="宋体" w:hAnsi="宋体" w:eastAsia="宋体" w:cs="宋体"/>
          <w:b/>
          <w:bCs/>
          <w:color w:val="auto"/>
          <w:sz w:val="32"/>
          <w:highlight w:val="none"/>
        </w:rPr>
      </w:pPr>
    </w:p>
    <w:p>
      <w:pPr>
        <w:pStyle w:val="74"/>
        <w:spacing w:line="520" w:lineRule="exact"/>
        <w:ind w:firstLine="0"/>
        <w:jc w:val="center"/>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南通市殡仪馆</w:t>
      </w:r>
    </w:p>
    <w:p>
      <w:pPr>
        <w:pStyle w:val="74"/>
        <w:spacing w:line="520" w:lineRule="exact"/>
        <w:ind w:firstLine="0"/>
        <w:jc w:val="center"/>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2023年</w:t>
      </w:r>
      <w:r>
        <w:rPr>
          <w:rFonts w:hint="eastAsia" w:ascii="宋体" w:hAnsi="宋体" w:cs="宋体"/>
          <w:bCs/>
          <w:color w:val="auto"/>
          <w:sz w:val="32"/>
          <w:highlight w:val="none"/>
          <w:lang w:val="en-US" w:eastAsia="zh-CN"/>
        </w:rPr>
        <w:t>9</w:t>
      </w:r>
      <w:r>
        <w:rPr>
          <w:rFonts w:hint="eastAsia" w:ascii="宋体" w:hAnsi="宋体" w:eastAsia="宋体" w:cs="宋体"/>
          <w:bCs/>
          <w:color w:val="auto"/>
          <w:sz w:val="32"/>
          <w:highlight w:val="none"/>
        </w:rPr>
        <w:t>月</w:t>
      </w:r>
    </w:p>
    <w:p>
      <w:pPr>
        <w:pStyle w:val="3"/>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p>
      <w:pPr>
        <w:pStyle w:val="3"/>
        <w:numPr>
          <w:ilvl w:val="0"/>
          <w:numId w:val="3"/>
        </w:numPr>
        <w:spacing w:line="566" w:lineRule="exac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投标邀请</w:t>
      </w:r>
    </w:p>
    <w:p>
      <w:pPr>
        <w:rPr>
          <w:rFonts w:hint="eastAsia" w:ascii="宋体" w:hAnsi="宋体" w:eastAsia="宋体" w:cs="宋体"/>
          <w:color w:val="auto"/>
          <w:highlight w:val="none"/>
        </w:rPr>
      </w:pPr>
    </w:p>
    <w:bookmarkEnd w:id="0"/>
    <w:p>
      <w:pPr>
        <w:spacing w:line="460" w:lineRule="exact"/>
        <w:ind w:firstLine="560" w:firstLineChars="200"/>
        <w:rPr>
          <w:rFonts w:hint="eastAsia" w:ascii="宋体" w:hAnsi="宋体" w:eastAsia="宋体" w:cs="宋体"/>
          <w:color w:val="auto"/>
          <w:sz w:val="28"/>
          <w:szCs w:val="28"/>
          <w:highlight w:val="none"/>
        </w:rPr>
      </w:pPr>
      <w:bookmarkStart w:id="6" w:name="_Toc120614211"/>
      <w:r>
        <w:rPr>
          <w:rFonts w:hint="eastAsia" w:ascii="宋体" w:hAnsi="宋体" w:eastAsia="宋体" w:cs="宋体"/>
          <w:snapToGrid w:val="0"/>
          <w:color w:val="auto"/>
          <w:sz w:val="28"/>
          <w:szCs w:val="28"/>
          <w:highlight w:val="none"/>
        </w:rPr>
        <w:t>江苏中润工程建设咨询有限公司</w:t>
      </w:r>
      <w:r>
        <w:rPr>
          <w:rFonts w:hint="eastAsia" w:ascii="宋体" w:hAnsi="宋体" w:eastAsia="宋体" w:cs="宋体"/>
          <w:bCs/>
          <w:color w:val="auto"/>
          <w:sz w:val="28"/>
          <w:szCs w:val="28"/>
          <w:highlight w:val="none"/>
        </w:rPr>
        <w:t>（以下简称“</w:t>
      </w:r>
      <w:r>
        <w:rPr>
          <w:rFonts w:hint="eastAsia" w:ascii="宋体" w:hAnsi="宋体" w:eastAsia="宋体" w:cs="宋体"/>
          <w:snapToGrid w:val="0"/>
          <w:color w:val="auto"/>
          <w:sz w:val="28"/>
          <w:szCs w:val="28"/>
          <w:highlight w:val="none"/>
        </w:rPr>
        <w:t>招标代理机构</w:t>
      </w:r>
      <w:r>
        <w:rPr>
          <w:rFonts w:hint="eastAsia" w:ascii="宋体" w:hAnsi="宋体" w:eastAsia="宋体" w:cs="宋体"/>
          <w:bCs/>
          <w:color w:val="auto"/>
          <w:sz w:val="28"/>
          <w:szCs w:val="28"/>
          <w:highlight w:val="none"/>
        </w:rPr>
        <w:t>”）受</w:t>
      </w:r>
      <w:r>
        <w:rPr>
          <w:rFonts w:hint="eastAsia" w:ascii="宋体" w:hAnsi="宋体" w:eastAsia="宋体" w:cs="宋体"/>
          <w:color w:val="auto"/>
          <w:sz w:val="28"/>
          <w:szCs w:val="28"/>
          <w:highlight w:val="none"/>
        </w:rPr>
        <w:t>_</w:t>
      </w:r>
      <w:r>
        <w:rPr>
          <w:rFonts w:hint="eastAsia" w:ascii="宋体" w:hAnsi="宋体" w:eastAsia="宋体" w:cs="宋体"/>
          <w:snapToGrid w:val="0"/>
          <w:color w:val="auto"/>
          <w:sz w:val="28"/>
          <w:szCs w:val="28"/>
          <w:highlight w:val="none"/>
          <w:u w:val="single"/>
        </w:rPr>
        <w:t xml:space="preserve">南通市殡仪馆 </w:t>
      </w:r>
      <w:r>
        <w:rPr>
          <w:rFonts w:hint="eastAsia" w:ascii="宋体" w:hAnsi="宋体" w:eastAsia="宋体" w:cs="宋体"/>
          <w:bCs/>
          <w:color w:val="auto"/>
          <w:sz w:val="28"/>
          <w:szCs w:val="28"/>
          <w:highlight w:val="none"/>
        </w:rPr>
        <w:t>的委托，对其所需的</w:t>
      </w:r>
      <w:r>
        <w:rPr>
          <w:rFonts w:hint="eastAsia" w:ascii="宋体" w:hAnsi="宋体" w:eastAsia="宋体" w:cs="宋体"/>
          <w:snapToGrid w:val="0"/>
          <w:color w:val="auto"/>
          <w:sz w:val="28"/>
          <w:szCs w:val="28"/>
          <w:highlight w:val="none"/>
          <w:u w:val="single"/>
        </w:rPr>
        <w:t>南通市殡仪馆拣灰炉寿毯采购</w:t>
      </w:r>
      <w:r>
        <w:rPr>
          <w:rFonts w:hint="eastAsia" w:ascii="宋体" w:hAnsi="宋体" w:eastAsia="宋体" w:cs="宋体"/>
          <w:color w:val="auto"/>
          <w:sz w:val="28"/>
          <w:szCs w:val="28"/>
          <w:highlight w:val="none"/>
        </w:rPr>
        <w:t>项目</w:t>
      </w:r>
      <w:r>
        <w:rPr>
          <w:rFonts w:hint="eastAsia" w:ascii="宋体" w:hAnsi="宋体" w:eastAsia="宋体" w:cs="宋体"/>
          <w:bCs/>
          <w:color w:val="auto"/>
          <w:sz w:val="28"/>
          <w:szCs w:val="28"/>
          <w:highlight w:val="none"/>
        </w:rPr>
        <w:t>进行公开招标采购，现欢迎符合相关条件的合格供应商投标。</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一、招标项目名称及编号</w:t>
      </w:r>
    </w:p>
    <w:p>
      <w:pPr>
        <w:tabs>
          <w:tab w:val="left" w:pos="900"/>
        </w:tabs>
        <w:spacing w:line="46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snapToGrid w:val="0"/>
          <w:color w:val="auto"/>
          <w:sz w:val="28"/>
          <w:szCs w:val="28"/>
          <w:highlight w:val="none"/>
          <w:u w:val="single"/>
        </w:rPr>
        <w:t>南通市殡仪馆拣灰炉寿毯采购项目</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lang w:val="en-US" w:eastAsia="zh-CN"/>
        </w:rPr>
        <w:t>次）</w:t>
      </w:r>
    </w:p>
    <w:p>
      <w:pPr>
        <w:spacing w:line="460" w:lineRule="exact"/>
        <w:ind w:firstLine="560" w:firstLineChars="200"/>
        <w:rPr>
          <w:rFonts w:hint="eastAsia" w:ascii="宋体" w:hAnsi="宋体" w:eastAsia="宋体" w:cs="宋体"/>
          <w:snapToGrid w:val="0"/>
          <w:color w:val="auto"/>
          <w:sz w:val="28"/>
          <w:szCs w:val="28"/>
          <w:highlight w:val="none"/>
          <w:u w:val="single"/>
        </w:rPr>
      </w:pPr>
      <w:r>
        <w:rPr>
          <w:rFonts w:hint="eastAsia" w:ascii="宋体" w:hAnsi="宋体" w:eastAsia="宋体" w:cs="宋体"/>
          <w:color w:val="auto"/>
          <w:sz w:val="28"/>
          <w:szCs w:val="28"/>
          <w:highlight w:val="none"/>
        </w:rPr>
        <w:t>标书编号：</w:t>
      </w:r>
      <w:r>
        <w:rPr>
          <w:rFonts w:hint="eastAsia" w:ascii="宋体" w:hAnsi="宋体" w:eastAsia="宋体" w:cs="宋体"/>
          <w:snapToGrid w:val="0"/>
          <w:color w:val="auto"/>
          <w:sz w:val="28"/>
          <w:szCs w:val="28"/>
          <w:highlight w:val="none"/>
          <w:u w:val="single"/>
        </w:rPr>
        <w:t>ZRNT2023041</w:t>
      </w:r>
      <w:r>
        <w:rPr>
          <w:rFonts w:hint="eastAsia" w:ascii="宋体" w:hAnsi="宋体" w:eastAsia="宋体" w:cs="宋体"/>
          <w:snapToGrid w:val="0"/>
          <w:color w:val="auto"/>
          <w:sz w:val="28"/>
          <w:szCs w:val="28"/>
          <w:highlight w:val="none"/>
          <w:u w:val="single"/>
          <w:lang w:val="en-US" w:eastAsia="zh-CN"/>
        </w:rPr>
        <w:t>7</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二、招标项目简要说明、预算金额及最高限价</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1、招标项目简要说明</w:t>
      </w:r>
    </w:p>
    <w:p>
      <w:pPr>
        <w:tabs>
          <w:tab w:val="left" w:pos="900"/>
        </w:tabs>
        <w:spacing w:line="460" w:lineRule="exact"/>
        <w:ind w:firstLine="560" w:firstLineChars="200"/>
        <w:rPr>
          <w:rFonts w:hint="eastAsia" w:ascii="宋体" w:hAnsi="宋体" w:eastAsia="宋体" w:cs="宋体"/>
          <w:snapToGrid w:val="0"/>
          <w:color w:val="auto"/>
          <w:sz w:val="28"/>
          <w:szCs w:val="28"/>
          <w:highlight w:val="none"/>
          <w:u w:val="single"/>
        </w:rPr>
      </w:pPr>
      <w:r>
        <w:rPr>
          <w:rFonts w:hint="eastAsia" w:ascii="宋体" w:hAnsi="宋体" w:eastAsia="宋体" w:cs="宋体"/>
          <w:snapToGrid w:val="0"/>
          <w:color w:val="auto"/>
          <w:sz w:val="28"/>
          <w:szCs w:val="28"/>
          <w:highlight w:val="none"/>
          <w:u w:val="single"/>
        </w:rPr>
        <w:t>南通市殡仪馆采购拣灰炉寿毯，具体内容详见采购需求和附表。</w:t>
      </w:r>
    </w:p>
    <w:tbl>
      <w:tblPr>
        <w:tblStyle w:val="36"/>
        <w:tblW w:w="764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534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right"/>
        </w:trPr>
        <w:tc>
          <w:tcPr>
            <w:tcW w:w="1520"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物品名称</w:t>
            </w:r>
          </w:p>
        </w:tc>
        <w:tc>
          <w:tcPr>
            <w:tcW w:w="5343"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技术要求</w:t>
            </w:r>
          </w:p>
        </w:tc>
        <w:tc>
          <w:tcPr>
            <w:tcW w:w="780"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right"/>
        </w:trPr>
        <w:tc>
          <w:tcPr>
            <w:tcW w:w="1520"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拣灰炉寿毯</w:t>
            </w:r>
          </w:p>
        </w:tc>
        <w:tc>
          <w:tcPr>
            <w:tcW w:w="534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1、尺寸：长2100mm  宽650mm  厚10mm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2、主材：陶瓷纤维棉，耐温≥1200℃</w:t>
            </w:r>
          </w:p>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3、寿毯外包装材质：无纺布</w:t>
            </w:r>
          </w:p>
          <w:p>
            <w:pPr>
              <w:widowControl/>
              <w:spacing w:line="460" w:lineRule="exact"/>
              <w:rPr>
                <w:rFonts w:hint="eastAsia" w:ascii="宋体" w:hAnsi="宋体" w:eastAsia="宋体" w:cs="宋体"/>
                <w:color w:val="auto"/>
                <w:sz w:val="28"/>
                <w:szCs w:val="28"/>
                <w:highlight w:val="none"/>
              </w:rPr>
            </w:pPr>
            <w:r>
              <w:rPr>
                <w:rFonts w:hint="eastAsia" w:ascii="宋体" w:hAnsi="宋体" w:eastAsia="宋体" w:cs="宋体"/>
                <w:color w:val="auto"/>
                <w:kern w:val="0"/>
                <w:sz w:val="24"/>
                <w:szCs w:val="24"/>
                <w:highlight w:val="none"/>
              </w:rPr>
              <w:t>4、遗体火化结束，原有的垫子可以卷起拿走，便于清理。</w:t>
            </w:r>
          </w:p>
        </w:tc>
        <w:tc>
          <w:tcPr>
            <w:tcW w:w="780"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条</w:t>
            </w:r>
          </w:p>
        </w:tc>
      </w:tr>
    </w:tbl>
    <w:p>
      <w:pPr>
        <w:tabs>
          <w:tab w:val="left" w:pos="900"/>
        </w:tabs>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2、本项目采购预算约为</w:t>
      </w:r>
      <w:r>
        <w:rPr>
          <w:rFonts w:hint="eastAsia" w:ascii="宋体" w:hAnsi="宋体" w:eastAsia="宋体" w:cs="宋体"/>
          <w:color w:val="auto"/>
          <w:sz w:val="28"/>
          <w:szCs w:val="28"/>
          <w:highlight w:val="none"/>
          <w:u w:val="single"/>
        </w:rPr>
        <w:t>23</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val="en-US" w:eastAsia="zh-CN"/>
        </w:rPr>
        <w:t>/年</w:t>
      </w:r>
      <w:r>
        <w:rPr>
          <w:rFonts w:hint="eastAsia" w:ascii="宋体" w:hAnsi="宋体" w:eastAsia="宋体" w:cs="宋体"/>
          <w:color w:val="auto"/>
          <w:sz w:val="28"/>
          <w:szCs w:val="28"/>
          <w:highlight w:val="none"/>
        </w:rPr>
        <w:t>。</w:t>
      </w:r>
    </w:p>
    <w:p>
      <w:pPr>
        <w:tabs>
          <w:tab w:val="left" w:pos="900"/>
        </w:tabs>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w:t>
      </w:r>
      <w:r>
        <w:rPr>
          <w:rFonts w:hint="eastAsia" w:ascii="宋体" w:hAnsi="宋体" w:eastAsia="宋体" w:cs="宋体"/>
          <w:color w:val="auto"/>
          <w:sz w:val="28"/>
          <w:szCs w:val="28"/>
          <w:highlight w:val="none"/>
          <w:u w:val="single"/>
        </w:rPr>
        <w:t>设</w:t>
      </w:r>
      <w:r>
        <w:rPr>
          <w:rFonts w:hint="eastAsia" w:ascii="宋体" w:hAnsi="宋体" w:eastAsia="宋体" w:cs="宋体"/>
          <w:color w:val="auto"/>
          <w:sz w:val="28"/>
          <w:szCs w:val="28"/>
          <w:highlight w:val="none"/>
        </w:rPr>
        <w:t>最高限价，最高限价为单价</w:t>
      </w:r>
      <w:r>
        <w:rPr>
          <w:rFonts w:hint="eastAsia" w:ascii="宋体" w:hAnsi="宋体" w:eastAsia="宋体" w:cs="宋体"/>
          <w:color w:val="auto"/>
          <w:sz w:val="28"/>
          <w:szCs w:val="28"/>
          <w:highlight w:val="none"/>
          <w:u w:val="single"/>
        </w:rPr>
        <w:t>40</w:t>
      </w:r>
      <w:r>
        <w:rPr>
          <w:rFonts w:hint="eastAsia" w:ascii="宋体" w:hAnsi="宋体" w:eastAsia="宋体" w:cs="宋体"/>
          <w:color w:val="auto"/>
          <w:sz w:val="28"/>
          <w:szCs w:val="28"/>
          <w:highlight w:val="none"/>
        </w:rPr>
        <w:t>元/条（含回收费用）。</w:t>
      </w:r>
    </w:p>
    <w:p>
      <w:pPr>
        <w:tabs>
          <w:tab w:val="left" w:pos="900"/>
        </w:tabs>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三、招标项目的采购需求</w:t>
      </w:r>
      <w:r>
        <w:rPr>
          <w:rFonts w:hint="eastAsia" w:ascii="宋体" w:hAnsi="宋体" w:eastAsia="宋体" w:cs="宋体"/>
          <w:bCs/>
          <w:color w:val="auto"/>
          <w:sz w:val="28"/>
          <w:szCs w:val="28"/>
          <w:highlight w:val="none"/>
          <w:lang w:eastAsia="zh-CN"/>
        </w:rPr>
        <w:t>：</w:t>
      </w:r>
      <w:r>
        <w:rPr>
          <w:rFonts w:hint="eastAsia" w:ascii="宋体" w:hAnsi="宋体" w:eastAsia="宋体" w:cs="宋体"/>
          <w:color w:val="auto"/>
          <w:sz w:val="28"/>
          <w:szCs w:val="28"/>
          <w:highlight w:val="none"/>
        </w:rPr>
        <w:t>详见招标文件第四章内容。</w:t>
      </w:r>
    </w:p>
    <w:p>
      <w:pPr>
        <w:tabs>
          <w:tab w:val="left" w:pos="900"/>
        </w:tabs>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四、</w:t>
      </w:r>
      <w:r>
        <w:rPr>
          <w:rFonts w:hint="eastAsia" w:ascii="宋体" w:hAnsi="宋体" w:eastAsia="宋体" w:cs="宋体"/>
          <w:bCs/>
          <w:color w:val="auto"/>
          <w:kern w:val="0"/>
          <w:sz w:val="28"/>
          <w:szCs w:val="28"/>
          <w:highlight w:val="none"/>
        </w:rPr>
        <w:t>评标方法与评标标准</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rPr>
        <w:t>详见招标文件第五章内容。</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五、供应商资格要求</w:t>
      </w:r>
    </w:p>
    <w:p>
      <w:pPr>
        <w:snapToGrid w:val="0"/>
        <w:spacing w:line="460" w:lineRule="exact"/>
        <w:ind w:firstLine="555"/>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z w:val="28"/>
          <w:szCs w:val="28"/>
          <w:highlight w:val="none"/>
        </w:rPr>
        <w:t>（一）</w:t>
      </w:r>
      <w:r>
        <w:rPr>
          <w:rFonts w:hint="eastAsia" w:ascii="宋体" w:hAnsi="宋体" w:eastAsia="宋体" w:cs="宋体"/>
          <w:color w:val="auto"/>
          <w:spacing w:val="7"/>
          <w:sz w:val="28"/>
          <w:szCs w:val="28"/>
          <w:highlight w:val="none"/>
          <w:shd w:val="clear" w:color="auto" w:fill="FFFFFF"/>
          <w:lang w:val="zh-CN"/>
        </w:rPr>
        <w:t>符合</w:t>
      </w:r>
      <w:r>
        <w:rPr>
          <w:rFonts w:hint="eastAsia" w:ascii="宋体" w:hAnsi="宋体" w:eastAsia="宋体" w:cs="宋体"/>
          <w:color w:val="auto"/>
          <w:spacing w:val="7"/>
          <w:sz w:val="28"/>
          <w:szCs w:val="28"/>
          <w:highlight w:val="none"/>
          <w:shd w:val="clear" w:color="auto" w:fill="FFFFFF"/>
        </w:rPr>
        <w:t>以下条件</w:t>
      </w:r>
      <w:r>
        <w:rPr>
          <w:rFonts w:hint="eastAsia" w:ascii="宋体" w:hAnsi="宋体" w:eastAsia="宋体" w:cs="宋体"/>
          <w:color w:val="auto"/>
          <w:spacing w:val="7"/>
          <w:sz w:val="28"/>
          <w:szCs w:val="28"/>
          <w:highlight w:val="none"/>
          <w:shd w:val="clear" w:color="auto" w:fill="FFFFFF"/>
          <w:lang w:val="zh-CN"/>
        </w:rPr>
        <w:t>：</w:t>
      </w:r>
      <w:r>
        <w:rPr>
          <w:rFonts w:hint="eastAsia" w:ascii="宋体" w:hAnsi="宋体" w:eastAsia="宋体" w:cs="宋体"/>
          <w:color w:val="auto"/>
          <w:spacing w:val="7"/>
          <w:sz w:val="28"/>
          <w:szCs w:val="28"/>
          <w:highlight w:val="none"/>
          <w:shd w:val="clear" w:color="auto" w:fill="FFFFFF"/>
        </w:rPr>
        <w:t>具有独立承担民事责任的能力；具有良好的商业信誉和健全的财务会计制度；具有履行合同所必需的设备和专业</w:t>
      </w:r>
      <w:r>
        <w:rPr>
          <w:rFonts w:hint="eastAsia" w:ascii="宋体" w:hAnsi="宋体" w:eastAsia="宋体" w:cs="宋体"/>
          <w:color w:val="auto"/>
          <w:spacing w:val="7"/>
          <w:sz w:val="28"/>
          <w:szCs w:val="28"/>
          <w:highlight w:val="none"/>
          <w:shd w:val="clear" w:color="auto" w:fill="FFFFFF"/>
          <w:lang w:val="zh-CN"/>
        </w:rPr>
        <w:t>技术能力；有依法缴纳税收和社会保障资金的良好记录；参加本次采购活动前三年内，在经营活动中没有重大违法记录；</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（二）其他资格要求：</w:t>
      </w:r>
    </w:p>
    <w:p>
      <w:pPr>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1、供应商应为所投产品的生产厂家或销售企业（提供相关证明文件）； </w:t>
      </w:r>
    </w:p>
    <w:p>
      <w:pPr>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2、投标产品须符合采购人要求（投标样品不符合采购人要求的，不参加第二阶段投标响应和评审）；</w:t>
      </w:r>
    </w:p>
    <w:p>
      <w:pPr>
        <w:snapToGrid w:val="0"/>
        <w:spacing w:line="460" w:lineRule="exact"/>
        <w:ind w:firstLine="562" w:firstLineChars="200"/>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3、投标人需回收已使用过的寿毯，并承诺按国家现行环保相关要求进行处理。</w:t>
      </w:r>
      <w:r>
        <w:rPr>
          <w:rFonts w:hint="eastAsia" w:ascii="宋体" w:hAnsi="宋体" w:eastAsia="宋体" w:cs="宋体"/>
          <w:b/>
          <w:bCs/>
          <w:color w:val="auto"/>
          <w:kern w:val="0"/>
          <w:sz w:val="28"/>
          <w:szCs w:val="28"/>
          <w:highlight w:val="none"/>
          <w:lang w:val="en-US" w:eastAsia="zh-CN"/>
        </w:rPr>
        <w:t>投标时提供承诺函（格式自拟）。</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六、招标文件提供信息</w:t>
      </w:r>
    </w:p>
    <w:p>
      <w:pPr>
        <w:tabs>
          <w:tab w:val="left" w:pos="900"/>
        </w:tabs>
        <w:spacing w:line="4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招标文件提供及公告期限：自招标公告在南通市民政局网站发布之日起5个工作日。招标文件在南通市民政局网站本项目公告附件中下载，有关本次招标的事项若存在变动或修改，敬请及时关注南通市民政局网站发布的关于本项目的信息更正公告。</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七、投标报名及样品提交（第一阶段）</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1、报名时需提交以下资料：</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（1）供应商营业执照复印件</w:t>
      </w:r>
      <w:r>
        <w:rPr>
          <w:rFonts w:hint="eastAsia" w:ascii="宋体" w:hAnsi="宋体" w:eastAsia="宋体" w:cs="宋体"/>
          <w:bCs/>
          <w:color w:val="auto"/>
          <w:sz w:val="28"/>
          <w:szCs w:val="28"/>
          <w:highlight w:val="none"/>
          <w:lang w:val="en-US" w:eastAsia="zh-CN"/>
        </w:rPr>
        <w:t>加盖公章</w:t>
      </w:r>
      <w:r>
        <w:rPr>
          <w:rFonts w:hint="eastAsia" w:ascii="宋体" w:hAnsi="宋体" w:eastAsia="宋体" w:cs="宋体"/>
          <w:bCs/>
          <w:color w:val="auto"/>
          <w:sz w:val="28"/>
          <w:szCs w:val="28"/>
          <w:highlight w:val="none"/>
        </w:rPr>
        <w:t>，法人授权委托书（如需）；</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（2）4条寿毯样品；</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2、报名及样品提交截止时间：</w:t>
      </w:r>
      <w:r>
        <w:rPr>
          <w:rFonts w:hint="eastAsia" w:ascii="宋体" w:hAnsi="宋体" w:eastAsia="宋体" w:cs="宋体"/>
          <w:color w:val="auto"/>
          <w:sz w:val="28"/>
          <w:szCs w:val="28"/>
          <w:highlight w:val="none"/>
          <w:u w:val="single"/>
        </w:rPr>
        <w:t>2023年</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rPr>
        <w:t>日9:00开始，至2023年</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val="en-US" w:eastAsia="zh-CN"/>
        </w:rPr>
        <w:t>17:00</w:t>
      </w:r>
      <w:r>
        <w:rPr>
          <w:rFonts w:hint="eastAsia" w:ascii="宋体" w:hAnsi="宋体" w:eastAsia="宋体" w:cs="宋体"/>
          <w:color w:val="auto"/>
          <w:sz w:val="28"/>
          <w:szCs w:val="28"/>
          <w:highlight w:val="none"/>
          <w:u w:val="single"/>
        </w:rPr>
        <w:t>时</w:t>
      </w:r>
      <w:r>
        <w:rPr>
          <w:rFonts w:hint="eastAsia" w:ascii="宋体" w:hAnsi="宋体" w:eastAsia="宋体" w:cs="宋体"/>
          <w:bCs/>
          <w:color w:val="auto"/>
          <w:sz w:val="28"/>
          <w:szCs w:val="28"/>
          <w:highlight w:val="none"/>
        </w:rPr>
        <w:t>截止。</w:t>
      </w:r>
    </w:p>
    <w:p>
      <w:pPr>
        <w:spacing w:line="4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bCs/>
          <w:color w:val="auto"/>
          <w:sz w:val="28"/>
          <w:szCs w:val="28"/>
          <w:highlight w:val="none"/>
        </w:rPr>
        <w:t>3、报名(含提交投标样品)地址：</w:t>
      </w:r>
      <w:r>
        <w:rPr>
          <w:rFonts w:hint="eastAsia" w:ascii="宋体" w:hAnsi="宋体" w:eastAsia="宋体" w:cs="宋体"/>
          <w:b/>
          <w:bCs/>
          <w:color w:val="auto"/>
          <w:sz w:val="28"/>
          <w:szCs w:val="28"/>
          <w:highlight w:val="none"/>
          <w:u w:val="single"/>
          <w:lang w:val="zh-CN"/>
        </w:rPr>
        <w:t>崇川区崇川路58号，南通产业技术研究院有限公司九号楼十楼</w:t>
      </w:r>
      <w:r>
        <w:rPr>
          <w:rFonts w:hint="eastAsia" w:ascii="宋体" w:hAnsi="宋体" w:eastAsia="宋体" w:cs="宋体"/>
          <w:b/>
          <w:bCs/>
          <w:color w:val="auto"/>
          <w:sz w:val="28"/>
          <w:szCs w:val="28"/>
          <w:highlight w:val="none"/>
          <w:u w:val="single"/>
        </w:rPr>
        <w:t>开标室</w:t>
      </w:r>
      <w:r>
        <w:rPr>
          <w:rFonts w:hint="eastAsia" w:ascii="宋体" w:hAnsi="宋体" w:eastAsia="宋体" w:cs="宋体"/>
          <w:b/>
          <w:bCs/>
          <w:color w:val="auto"/>
          <w:sz w:val="28"/>
          <w:szCs w:val="28"/>
          <w:highlight w:val="none"/>
          <w:lang w:val="zh-CN"/>
        </w:rPr>
        <w:t>，</w:t>
      </w:r>
      <w:r>
        <w:rPr>
          <w:rFonts w:hint="eastAsia" w:ascii="宋体" w:hAnsi="宋体" w:eastAsia="宋体" w:cs="宋体"/>
          <w:color w:val="auto"/>
          <w:sz w:val="28"/>
          <w:szCs w:val="28"/>
          <w:highlight w:val="none"/>
          <w:lang w:val="zh-CN"/>
        </w:rPr>
        <w:t>如有变动另行通知。</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联系电话：18344703186</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八、产品质量检测</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为了充分了解投标人产品的质量性能，投标人在报名时提供4条寿毯，其中3条用于实践检测，1条留样。</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代理机构对接受的样品实物进行随机编号，并交给采购单位进行</w:t>
      </w:r>
      <w:r>
        <w:rPr>
          <w:rFonts w:hint="eastAsia" w:ascii="宋体" w:hAnsi="宋体" w:eastAsia="宋体" w:cs="宋体"/>
          <w:bCs/>
          <w:color w:val="auto"/>
          <w:sz w:val="28"/>
          <w:szCs w:val="28"/>
          <w:highlight w:val="none"/>
        </w:rPr>
        <w:t>实践检测</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若经实践检测、产品质量达到采购人要求的，则通知该投标人参加后续第二阶段的投标响应；若经实践检测、产品质量达不到采购人要求的，则告知投标人，并取消投标人的后续第二阶段投标资格。</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具体通知时间为：</w:t>
      </w:r>
      <w:r>
        <w:rPr>
          <w:rFonts w:hint="eastAsia" w:ascii="宋体" w:hAnsi="宋体" w:eastAsia="宋体" w:cs="宋体"/>
          <w:bCs/>
          <w:color w:val="auto"/>
          <w:sz w:val="28"/>
          <w:szCs w:val="28"/>
          <w:highlight w:val="none"/>
          <w:lang w:val="en-US" w:eastAsia="zh-CN"/>
        </w:rPr>
        <w:t>2023年</w:t>
      </w:r>
      <w:r>
        <w:rPr>
          <w:rFonts w:hint="eastAsia" w:ascii="宋体" w:hAnsi="宋体" w:cs="宋体"/>
          <w:bCs/>
          <w:color w:val="auto"/>
          <w:sz w:val="28"/>
          <w:szCs w:val="28"/>
          <w:highlight w:val="none"/>
          <w:lang w:val="en-US" w:eastAsia="zh-CN"/>
        </w:rPr>
        <w:t>9</w:t>
      </w:r>
      <w:r>
        <w:rPr>
          <w:rFonts w:hint="eastAsia" w:ascii="宋体" w:hAnsi="宋体" w:eastAsia="宋体" w:cs="宋体"/>
          <w:bCs/>
          <w:color w:val="auto"/>
          <w:sz w:val="28"/>
          <w:szCs w:val="28"/>
          <w:highlight w:val="none"/>
          <w:lang w:val="en-US" w:eastAsia="zh-CN"/>
        </w:rPr>
        <w:t>月</w:t>
      </w:r>
      <w:r>
        <w:rPr>
          <w:rFonts w:hint="eastAsia" w:ascii="宋体" w:hAnsi="宋体" w:cs="宋体"/>
          <w:bCs/>
          <w:color w:val="auto"/>
          <w:sz w:val="28"/>
          <w:szCs w:val="28"/>
          <w:highlight w:val="none"/>
          <w:lang w:val="en-US" w:eastAsia="zh-CN"/>
        </w:rPr>
        <w:t>15</w:t>
      </w:r>
      <w:r>
        <w:rPr>
          <w:rFonts w:hint="eastAsia" w:ascii="宋体" w:hAnsi="宋体" w:eastAsia="宋体" w:cs="宋体"/>
          <w:bCs/>
          <w:color w:val="auto"/>
          <w:sz w:val="28"/>
          <w:szCs w:val="28"/>
          <w:highlight w:val="none"/>
          <w:lang w:val="en-US" w:eastAsia="zh-CN"/>
        </w:rPr>
        <w:t>日15:00前</w:t>
      </w:r>
      <w:r>
        <w:rPr>
          <w:rFonts w:hint="eastAsia" w:ascii="宋体" w:hAnsi="宋体" w:eastAsia="宋体" w:cs="宋体"/>
          <w:bCs/>
          <w:color w:val="auto"/>
          <w:sz w:val="28"/>
          <w:szCs w:val="28"/>
          <w:highlight w:val="none"/>
        </w:rPr>
        <w:t>。</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九、投标文件接收信息（第二阶段）</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投标文件接收截止时间： 2023年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rPr>
        <w:t>日14时00分（北京时间）</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纸质</w:t>
      </w:r>
      <w:r>
        <w:rPr>
          <w:rFonts w:hint="eastAsia" w:ascii="宋体" w:hAnsi="宋体" w:eastAsia="宋体" w:cs="宋体"/>
          <w:color w:val="auto"/>
          <w:sz w:val="28"/>
          <w:szCs w:val="28"/>
          <w:highlight w:val="none"/>
        </w:rPr>
        <w:t>投标文件接收地点：</w:t>
      </w:r>
      <w:r>
        <w:rPr>
          <w:rFonts w:hint="eastAsia" w:ascii="宋体" w:hAnsi="宋体" w:eastAsia="宋体" w:cs="宋体"/>
          <w:bCs/>
          <w:color w:val="auto"/>
          <w:sz w:val="28"/>
          <w:szCs w:val="28"/>
          <w:highlight w:val="none"/>
        </w:rPr>
        <w:t>江苏中润工程建设咨询有限公司</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b/>
          <w:bCs/>
          <w:color w:val="auto"/>
          <w:sz w:val="28"/>
          <w:szCs w:val="28"/>
          <w:highlight w:val="none"/>
          <w:u w:val="single"/>
          <w:lang w:val="zh-CN"/>
        </w:rPr>
        <w:t>崇川区崇川路58号，南通产业技术研究院有限公司九号楼十楼</w:t>
      </w:r>
      <w:r>
        <w:rPr>
          <w:rFonts w:hint="eastAsia" w:ascii="宋体" w:hAnsi="宋体" w:eastAsia="宋体" w:cs="宋体"/>
          <w:b/>
          <w:bCs/>
          <w:color w:val="auto"/>
          <w:sz w:val="28"/>
          <w:szCs w:val="28"/>
          <w:highlight w:val="none"/>
          <w:u w:val="single"/>
        </w:rPr>
        <w:t>开标室</w:t>
      </w:r>
      <w:r>
        <w:rPr>
          <w:rFonts w:hint="eastAsia" w:ascii="宋体" w:hAnsi="宋体" w:eastAsia="宋体" w:cs="宋体"/>
          <w:snapToGrid w:val="0"/>
          <w:color w:val="auto"/>
          <w:sz w:val="28"/>
          <w:szCs w:val="28"/>
          <w:highlight w:val="none"/>
        </w:rPr>
        <w:t>。</w:t>
      </w:r>
    </w:p>
    <w:p>
      <w:pPr>
        <w:keepNext w:val="0"/>
        <w:keepLines w:val="0"/>
        <w:pageBreakBefore w:val="0"/>
        <w:widowControl/>
        <w:shd w:val="clear" w:color="auto" w:fill="FFFFFF"/>
        <w:kinsoku/>
        <w:wordWrap/>
        <w:overflowPunct/>
        <w:topLinePunct w:val="0"/>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本项目为不见面评审，供应商代表无需到达</w:t>
      </w:r>
      <w:r>
        <w:rPr>
          <w:rFonts w:hint="eastAsia" w:ascii="宋体" w:hAnsi="宋体" w:eastAsia="宋体" w:cs="宋体"/>
          <w:color w:val="auto"/>
          <w:sz w:val="28"/>
          <w:szCs w:val="28"/>
          <w:highlight w:val="none"/>
          <w:lang w:val="en-US" w:eastAsia="zh-CN"/>
        </w:rPr>
        <w:t>评审</w:t>
      </w:r>
      <w:r>
        <w:rPr>
          <w:rFonts w:hint="eastAsia" w:ascii="宋体" w:hAnsi="宋体" w:eastAsia="宋体" w:cs="宋体"/>
          <w:color w:val="auto"/>
          <w:sz w:val="28"/>
          <w:szCs w:val="28"/>
          <w:highlight w:val="none"/>
        </w:rPr>
        <w:t>现场，但应确保响应文件在截止时间前送达或邮寄到达采购代理机构（可以由本项目代理机构联系人签收，邮寄地址：崇川区崇川路58号，南通产业技术研究院有限公司九号楼十楼1004，江苏中润工程建设咨询有限公司，联系人：朱工18344703186）。</w:t>
      </w:r>
      <w:r>
        <w:rPr>
          <w:rFonts w:hint="eastAsia" w:ascii="宋体" w:hAnsi="宋体" w:eastAsia="宋体" w:cs="宋体"/>
          <w:color w:val="auto"/>
          <w:sz w:val="28"/>
          <w:szCs w:val="28"/>
          <w:highlight w:val="none"/>
          <w:lang w:val="en-US" w:eastAsia="zh-CN"/>
        </w:rPr>
        <w:t>开标评审</w:t>
      </w:r>
      <w:r>
        <w:rPr>
          <w:rFonts w:hint="eastAsia" w:ascii="宋体" w:hAnsi="宋体" w:eastAsia="宋体" w:cs="宋体"/>
          <w:color w:val="auto"/>
          <w:sz w:val="28"/>
          <w:szCs w:val="28"/>
          <w:highlight w:val="none"/>
        </w:rPr>
        <w:t>由代理机构主持，采购人组织的</w:t>
      </w:r>
      <w:r>
        <w:rPr>
          <w:rFonts w:hint="eastAsia" w:ascii="宋体" w:hAnsi="宋体" w:eastAsia="宋体" w:cs="宋体"/>
          <w:color w:val="auto"/>
          <w:sz w:val="28"/>
          <w:szCs w:val="28"/>
          <w:highlight w:val="none"/>
          <w:lang w:val="en-US" w:eastAsia="zh-CN"/>
        </w:rPr>
        <w:t>评审</w:t>
      </w:r>
      <w:r>
        <w:rPr>
          <w:rFonts w:hint="eastAsia" w:ascii="宋体" w:hAnsi="宋体" w:eastAsia="宋体" w:cs="宋体"/>
          <w:color w:val="auto"/>
          <w:sz w:val="28"/>
          <w:szCs w:val="28"/>
          <w:highlight w:val="none"/>
        </w:rPr>
        <w:t>小组责响应文件的评审。</w:t>
      </w:r>
    </w:p>
    <w:p>
      <w:pPr>
        <w:keepNext w:val="0"/>
        <w:keepLines w:val="0"/>
        <w:pageBreakBefore w:val="0"/>
        <w:widowControl/>
        <w:shd w:val="clear" w:color="auto" w:fill="FFFFFF"/>
        <w:kinsoku/>
        <w:wordWrap/>
        <w:overflowPunct/>
        <w:topLinePunct w:val="0"/>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本项目投标文件资格审查密封袋上须注明响应单位</w:t>
      </w:r>
      <w:r>
        <w:rPr>
          <w:rFonts w:hint="eastAsia" w:ascii="宋体" w:hAnsi="宋体" w:eastAsia="宋体" w:cs="宋体"/>
          <w:b/>
          <w:bCs/>
          <w:color w:val="auto"/>
          <w:sz w:val="28"/>
          <w:szCs w:val="28"/>
          <w:highlight w:val="none"/>
          <w:lang w:val="en-US" w:eastAsia="zh-CN"/>
        </w:rPr>
        <w:t>授权委托人的联系方式</w:t>
      </w:r>
      <w:r>
        <w:rPr>
          <w:rFonts w:hint="eastAsia" w:ascii="宋体" w:hAnsi="宋体" w:eastAsia="宋体" w:cs="宋体"/>
          <w:color w:val="auto"/>
          <w:sz w:val="28"/>
          <w:szCs w:val="28"/>
          <w:highlight w:val="none"/>
          <w:lang w:val="en-US" w:eastAsia="zh-CN"/>
        </w:rPr>
        <w:t>，</w:t>
      </w:r>
      <w:r>
        <w:rPr>
          <w:rFonts w:hint="eastAsia" w:ascii="宋体" w:hAnsi="宋体" w:eastAsia="宋体" w:cs="宋体"/>
          <w:b/>
          <w:bCs/>
          <w:color w:val="auto"/>
          <w:sz w:val="28"/>
          <w:szCs w:val="28"/>
          <w:highlight w:val="none"/>
          <w:lang w:val="en-US" w:eastAsia="zh-CN"/>
        </w:rPr>
        <w:t>并保证项目评审期间通讯畅通</w:t>
      </w:r>
      <w:r>
        <w:rPr>
          <w:rFonts w:hint="eastAsia" w:ascii="宋体" w:hAnsi="宋体" w:eastAsia="宋体" w:cs="宋体"/>
          <w:color w:val="auto"/>
          <w:sz w:val="28"/>
          <w:szCs w:val="28"/>
          <w:highlight w:val="none"/>
        </w:rPr>
        <w:t>；响应单位授权委托人需在2023年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18</w:t>
      </w:r>
      <w:bookmarkStart w:id="178" w:name="_GoBack"/>
      <w:bookmarkEnd w:id="178"/>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点</w:t>
      </w:r>
      <w:r>
        <w:rPr>
          <w:rFonts w:hint="eastAsia"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rPr>
        <w:t>分（北京时间）</w:t>
      </w:r>
      <w:r>
        <w:rPr>
          <w:rFonts w:hint="eastAsia" w:ascii="宋体" w:hAnsi="宋体" w:eastAsia="宋体" w:cs="宋体"/>
          <w:color w:val="auto"/>
          <w:sz w:val="28"/>
          <w:szCs w:val="28"/>
          <w:highlight w:val="none"/>
          <w:lang w:eastAsia="zh-CN"/>
        </w:rPr>
        <w:t>前以“单位名称简写</w:t>
      </w:r>
      <w:r>
        <w:rPr>
          <w:rFonts w:hint="eastAsia" w:ascii="宋体" w:hAnsi="宋体" w:eastAsia="宋体" w:cs="宋体"/>
          <w:color w:val="auto"/>
          <w:sz w:val="28"/>
          <w:szCs w:val="28"/>
          <w:highlight w:val="none"/>
          <w:lang w:val="en-US" w:eastAsia="zh-CN"/>
        </w:rPr>
        <w:t>+委托人姓名”加入腾讯会议号：</w:t>
      </w:r>
      <w:r>
        <w:rPr>
          <w:rFonts w:hint="eastAsia" w:ascii="宋体" w:hAnsi="宋体" w:cs="宋体"/>
          <w:color w:val="auto"/>
          <w:sz w:val="28"/>
          <w:szCs w:val="28"/>
          <w:highlight w:val="none"/>
          <w:lang w:val="en-US" w:eastAsia="zh-CN"/>
        </w:rPr>
        <w:t>129</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273</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033</w:t>
      </w:r>
      <w:r>
        <w:rPr>
          <w:rFonts w:hint="eastAsia" w:ascii="宋体" w:hAnsi="宋体" w:eastAsia="宋体" w:cs="宋体"/>
          <w:color w:val="auto"/>
          <w:sz w:val="28"/>
          <w:szCs w:val="28"/>
          <w:highlight w:val="none"/>
        </w:rPr>
        <w:t>。本项目开标过程交互采用“腾讯会议”，投标人需自行下载安装“腾讯会议”软件，并学习操作，开标截止前半小时内授权委托人向采购代理机构获取腾讯会议号密码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开标过程中需要与供应商进行谈判的，</w:t>
      </w:r>
      <w:r>
        <w:rPr>
          <w:rFonts w:hint="eastAsia" w:ascii="宋体" w:hAnsi="宋体" w:eastAsia="宋体" w:cs="宋体"/>
          <w:color w:val="auto"/>
          <w:sz w:val="28"/>
          <w:szCs w:val="28"/>
          <w:highlight w:val="none"/>
        </w:rPr>
        <w:t>交流前需视频核实响应单位授权委托人身份证原件，</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核实后，</w:t>
      </w:r>
      <w:r>
        <w:rPr>
          <w:rFonts w:hint="eastAsia" w:ascii="宋体" w:hAnsi="宋体" w:eastAsia="宋体" w:cs="宋体"/>
          <w:color w:val="auto"/>
          <w:sz w:val="28"/>
          <w:szCs w:val="28"/>
          <w:highlight w:val="none"/>
          <w:lang w:val="en-US" w:eastAsia="zh-CN"/>
        </w:rPr>
        <w:t>授权委托人与评审小组互动交流</w:t>
      </w:r>
      <w:r>
        <w:rPr>
          <w:rFonts w:hint="eastAsia" w:ascii="宋体" w:hAnsi="宋体" w:eastAsia="宋体" w:cs="宋体"/>
          <w:b/>
          <w:bCs/>
          <w:color w:val="auto"/>
          <w:sz w:val="28"/>
          <w:szCs w:val="28"/>
          <w:highlight w:val="none"/>
          <w:lang w:val="zh-CN" w:eastAsia="zh-CN"/>
        </w:rPr>
        <w:t>。</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十、本次招标联系事项</w:t>
      </w:r>
    </w:p>
    <w:p>
      <w:pPr>
        <w:snapToGrid w:val="0"/>
        <w:spacing w:line="460" w:lineRule="exact"/>
        <w:ind w:firstLine="560" w:firstLineChars="200"/>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采购单位：南通市殡仪馆</w:t>
      </w:r>
    </w:p>
    <w:p>
      <w:pPr>
        <w:snapToGrid w:val="0"/>
        <w:spacing w:line="460" w:lineRule="exact"/>
        <w:ind w:firstLine="560" w:firstLineChars="200"/>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采购单位联系人：施秀荣。联系电话：81591716</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代理机构：江苏中润工程建设咨询有限公司</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联系人：王先生   联系电话：13906272111 </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"mailto:279366603@qq.com"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rPr>
        <w:t>279366603@qq.com</w:t>
      </w:r>
      <w:r>
        <w:rPr>
          <w:rFonts w:hint="eastAsia" w:ascii="宋体" w:hAnsi="宋体" w:eastAsia="宋体" w:cs="宋体"/>
          <w:bCs/>
          <w:color w:val="auto"/>
          <w:sz w:val="28"/>
          <w:szCs w:val="28"/>
          <w:highlight w:val="none"/>
        </w:rPr>
        <w:fldChar w:fldCharType="end"/>
      </w:r>
    </w:p>
    <w:p>
      <w:p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对</w:t>
      </w:r>
      <w:r>
        <w:rPr>
          <w:rFonts w:hint="eastAsia" w:ascii="宋体" w:hAnsi="宋体" w:eastAsia="宋体" w:cs="宋体"/>
          <w:b/>
          <w:color w:val="auto"/>
          <w:kern w:val="0"/>
          <w:sz w:val="28"/>
          <w:szCs w:val="28"/>
          <w:highlight w:val="none"/>
        </w:rPr>
        <w:t>其他资格要求、项目需求、评分标准</w:t>
      </w:r>
      <w:r>
        <w:rPr>
          <w:rFonts w:hint="eastAsia" w:ascii="宋体" w:hAnsi="宋体" w:eastAsia="宋体" w:cs="宋体"/>
          <w:b/>
          <w:color w:val="auto"/>
          <w:sz w:val="28"/>
          <w:szCs w:val="28"/>
          <w:highlight w:val="none"/>
        </w:rPr>
        <w:t>的询问、质疑请向采购人提出，询问、质疑由采购人负责答复。</w:t>
      </w:r>
    </w:p>
    <w:p>
      <w:pPr>
        <w:tabs>
          <w:tab w:val="left" w:pos="900"/>
        </w:tabs>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十</w:t>
      </w:r>
      <w:r>
        <w:rPr>
          <w:rFonts w:hint="eastAsia" w:ascii="宋体" w:hAnsi="宋体" w:eastAsia="宋体" w:cs="宋体"/>
          <w:bCs/>
          <w:color w:val="auto"/>
          <w:sz w:val="28"/>
          <w:szCs w:val="28"/>
          <w:highlight w:val="none"/>
          <w:lang w:val="en-US" w:eastAsia="zh-CN"/>
        </w:rPr>
        <w:t>一</w:t>
      </w:r>
      <w:r>
        <w:rPr>
          <w:rFonts w:hint="eastAsia" w:ascii="宋体" w:hAnsi="宋体" w:eastAsia="宋体" w:cs="宋体"/>
          <w:bCs/>
          <w:color w:val="auto"/>
          <w:sz w:val="28"/>
          <w:szCs w:val="28"/>
          <w:highlight w:val="none"/>
        </w:rPr>
        <w:t>、投标文件制作份数要求：</w:t>
      </w:r>
    </w:p>
    <w:p>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正本份数：1份，副本份数：2份。</w:t>
      </w:r>
    </w:p>
    <w:p>
      <w:pPr>
        <w:snapToGrid w:val="0"/>
        <w:spacing w:line="460" w:lineRule="exact"/>
        <w:ind w:firstLine="560" w:firstLineChars="200"/>
        <w:contextualSpacing/>
        <w:rPr>
          <w:rFonts w:hint="eastAsia" w:ascii="宋体" w:hAnsi="宋体" w:eastAsia="宋体" w:cs="宋体"/>
          <w:b/>
          <w:snapToGrid w:val="0"/>
          <w:color w:val="auto"/>
          <w:sz w:val="28"/>
          <w:szCs w:val="28"/>
          <w:highlight w:val="none"/>
        </w:rPr>
      </w:pPr>
      <w:r>
        <w:rPr>
          <w:rFonts w:hint="eastAsia" w:ascii="宋体" w:hAnsi="宋体" w:eastAsia="宋体" w:cs="宋体"/>
          <w:bCs/>
          <w:color w:val="auto"/>
          <w:sz w:val="28"/>
          <w:szCs w:val="28"/>
          <w:highlight w:val="none"/>
        </w:rPr>
        <w:t>十二、评标流程简介</w:t>
      </w:r>
    </w:p>
    <w:p>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先对投标文件密封性进行审查，采购人对经产品实践检测符合采购人资料要求的投标供应商资格性、符合性审查，对未通过审查的投标人告知原因。招标人当众拆封价格标进行现场唱标，报价最低的为中标供应商。</w:t>
      </w:r>
      <w:r>
        <w:rPr>
          <w:rFonts w:hint="eastAsia" w:ascii="宋体" w:hAnsi="宋体" w:eastAsia="宋体" w:cs="宋体"/>
          <w:color w:val="auto"/>
          <w:sz w:val="28"/>
          <w:szCs w:val="28"/>
          <w:highlight w:val="none"/>
        </w:rPr>
        <w:br w:type="page"/>
      </w:r>
    </w:p>
    <w:p>
      <w:pPr>
        <w:pStyle w:val="4"/>
        <w:spacing w:before="0" w:after="0" w:line="566" w:lineRule="exact"/>
        <w:rPr>
          <w:rFonts w:hint="eastAsia" w:ascii="宋体" w:hAnsi="宋体" w:eastAsia="宋体" w:cs="宋体"/>
          <w:b w:val="0"/>
          <w:color w:val="auto"/>
          <w:highlight w:val="none"/>
        </w:rPr>
      </w:pPr>
      <w:r>
        <w:rPr>
          <w:rFonts w:hint="eastAsia" w:ascii="宋体" w:hAnsi="宋体" w:eastAsia="宋体" w:cs="宋体"/>
          <w:b w:val="0"/>
          <w:color w:val="auto"/>
          <w:highlight w:val="none"/>
        </w:rPr>
        <w:t xml:space="preserve">第二章  </w:t>
      </w:r>
      <w:bookmarkEnd w:id="1"/>
      <w:bookmarkEnd w:id="2"/>
      <w:bookmarkEnd w:id="3"/>
      <w:bookmarkEnd w:id="4"/>
      <w:bookmarkEnd w:id="5"/>
      <w:bookmarkEnd w:id="6"/>
      <w:bookmarkStart w:id="7" w:name="_Toc120614213"/>
      <w:bookmarkStart w:id="8" w:name="_Toc513029202"/>
      <w:bookmarkStart w:id="9" w:name="_Toc20823274"/>
      <w:bookmarkStart w:id="10" w:name="_Toc16938518"/>
      <w:r>
        <w:rPr>
          <w:rFonts w:hint="eastAsia" w:ascii="宋体" w:hAnsi="宋体" w:eastAsia="宋体" w:cs="宋体"/>
          <w:b w:val="0"/>
          <w:color w:val="auto"/>
          <w:highlight w:val="none"/>
        </w:rPr>
        <w:t>投标人须知</w:t>
      </w:r>
      <w:bookmarkEnd w:id="7"/>
      <w:bookmarkEnd w:id="8"/>
      <w:bookmarkEnd w:id="9"/>
      <w:bookmarkEnd w:id="10"/>
    </w:p>
    <w:p>
      <w:pPr>
        <w:pStyle w:val="5"/>
        <w:rPr>
          <w:rFonts w:hint="eastAsia" w:ascii="宋体" w:hAnsi="宋体" w:eastAsia="宋体" w:cs="宋体"/>
          <w:color w:val="auto"/>
          <w:highlight w:val="none"/>
        </w:rPr>
      </w:pPr>
    </w:p>
    <w:p>
      <w:pPr>
        <w:pStyle w:val="6"/>
        <w:spacing w:before="0" w:after="0" w:line="460" w:lineRule="exact"/>
        <w:ind w:firstLine="434" w:firstLineChars="155"/>
        <w:rPr>
          <w:rFonts w:hint="eastAsia" w:ascii="宋体" w:hAnsi="宋体" w:eastAsia="宋体" w:cs="宋体"/>
          <w:b w:val="0"/>
          <w:color w:val="auto"/>
          <w:sz w:val="28"/>
          <w:szCs w:val="28"/>
          <w:highlight w:val="none"/>
        </w:rPr>
      </w:pPr>
      <w:bookmarkStart w:id="11" w:name="_Toc16938519"/>
      <w:bookmarkStart w:id="12" w:name="_Toc120614214"/>
      <w:bookmarkStart w:id="13" w:name="_Toc20823275"/>
      <w:bookmarkStart w:id="14" w:name="_Toc513029203"/>
      <w:r>
        <w:rPr>
          <w:rFonts w:hint="eastAsia" w:ascii="宋体" w:hAnsi="宋体" w:eastAsia="宋体" w:cs="宋体"/>
          <w:b w:val="0"/>
          <w:color w:val="auto"/>
          <w:sz w:val="28"/>
          <w:szCs w:val="28"/>
          <w:highlight w:val="none"/>
        </w:rPr>
        <w:t>一、总则</w:t>
      </w:r>
      <w:bookmarkEnd w:id="11"/>
      <w:bookmarkEnd w:id="12"/>
      <w:bookmarkEnd w:id="13"/>
      <w:bookmarkEnd w:id="14"/>
    </w:p>
    <w:p>
      <w:pPr>
        <w:pStyle w:val="7"/>
        <w:spacing w:before="0" w:after="0" w:line="460" w:lineRule="exact"/>
        <w:ind w:firstLine="560" w:firstLineChars="200"/>
        <w:rPr>
          <w:rFonts w:hint="eastAsia" w:ascii="宋体" w:hAnsi="宋体" w:eastAsia="宋体" w:cs="宋体"/>
          <w:b w:val="0"/>
          <w:bCs w:val="0"/>
          <w:color w:val="auto"/>
          <w:highlight w:val="none"/>
        </w:rPr>
      </w:pPr>
      <w:bookmarkStart w:id="15" w:name="_Hlt16619475"/>
      <w:bookmarkEnd w:id="15"/>
      <w:bookmarkStart w:id="16" w:name="_Toc458694821"/>
      <w:bookmarkStart w:id="17" w:name="_Toc513029204"/>
      <w:bookmarkStart w:id="18" w:name="_Toc16938520"/>
      <w:bookmarkStart w:id="19" w:name="_Toc20823276"/>
      <w:r>
        <w:rPr>
          <w:rFonts w:hint="eastAsia" w:ascii="宋体" w:hAnsi="宋体" w:eastAsia="宋体" w:cs="宋体"/>
          <w:b w:val="0"/>
          <w:bCs w:val="0"/>
          <w:color w:val="auto"/>
          <w:highlight w:val="none"/>
        </w:rPr>
        <w:t>1</w:t>
      </w:r>
      <w:bookmarkEnd w:id="16"/>
      <w:r>
        <w:rPr>
          <w:rFonts w:hint="eastAsia" w:ascii="宋体" w:hAnsi="宋体" w:eastAsia="宋体" w:cs="宋体"/>
          <w:b w:val="0"/>
          <w:bCs w:val="0"/>
          <w:color w:val="auto"/>
          <w:highlight w:val="none"/>
        </w:rPr>
        <w:t>、招标方式</w:t>
      </w:r>
      <w:bookmarkEnd w:id="17"/>
      <w:bookmarkEnd w:id="18"/>
      <w:bookmarkEnd w:id="19"/>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本次招标采取公开招标方式，本招标文件仅适用于招标公告中所述项目。</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20" w:name="_Toc513029205"/>
      <w:bookmarkStart w:id="21" w:name="_Toc20823277"/>
      <w:bookmarkStart w:id="22" w:name="_Toc16938521"/>
      <w:r>
        <w:rPr>
          <w:rFonts w:hint="eastAsia" w:ascii="宋体" w:hAnsi="宋体" w:eastAsia="宋体" w:cs="宋体"/>
          <w:b w:val="0"/>
          <w:bCs w:val="0"/>
          <w:color w:val="auto"/>
          <w:highlight w:val="none"/>
        </w:rPr>
        <w:t>2、合格的投标人</w:t>
      </w:r>
      <w:bookmarkEnd w:id="20"/>
      <w:bookmarkEnd w:id="21"/>
      <w:bookmarkEnd w:id="22"/>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2.1满足招标公告中供应商的资格要求的规定。</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23" w:name="_Toc20823278"/>
      <w:bookmarkStart w:id="24" w:name="_Toc513029206"/>
      <w:bookmarkStart w:id="25" w:name="_Toc16938522"/>
      <w:r>
        <w:rPr>
          <w:rFonts w:hint="eastAsia" w:ascii="宋体" w:hAnsi="宋体" w:eastAsia="宋体" w:cs="宋体"/>
          <w:b w:val="0"/>
          <w:bCs w:val="0"/>
          <w:color w:val="auto"/>
          <w:highlight w:val="none"/>
        </w:rPr>
        <w:t>3、适用法律</w:t>
      </w:r>
      <w:bookmarkEnd w:id="23"/>
      <w:bookmarkEnd w:id="24"/>
      <w:bookmarkEnd w:id="25"/>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本次招标及由此产生的合同受中华人民共和国有关的法律法规制约和保护。</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26" w:name="_Toc513029207"/>
      <w:bookmarkStart w:id="27" w:name="_Toc20823279"/>
      <w:bookmarkStart w:id="28" w:name="_Toc462564067"/>
      <w:bookmarkStart w:id="29" w:name="_Toc16938523"/>
      <w:r>
        <w:rPr>
          <w:rFonts w:hint="eastAsia" w:ascii="宋体" w:hAnsi="宋体" w:eastAsia="宋体" w:cs="宋体"/>
          <w:b w:val="0"/>
          <w:bCs w:val="0"/>
          <w:color w:val="auto"/>
          <w:highlight w:val="none"/>
        </w:rPr>
        <w:t>4、投标费用</w:t>
      </w:r>
      <w:bookmarkEnd w:id="26"/>
      <w:bookmarkEnd w:id="27"/>
      <w:bookmarkEnd w:id="28"/>
      <w:bookmarkEnd w:id="29"/>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4.1</w:t>
      </w:r>
      <w:r>
        <w:rPr>
          <w:rFonts w:hint="eastAsia" w:ascii="宋体" w:hAnsi="宋体" w:eastAsia="宋体" w:cs="宋体"/>
          <w:color w:val="auto"/>
          <w:sz w:val="28"/>
          <w:szCs w:val="28"/>
          <w:highlight w:val="none"/>
        </w:rPr>
        <w:t xml:space="preserve"> 投标人应自行承担所有与参加投标有关的费用，无论投标过程中的做法和结果如何，招标人和代理机构在任何情况下均无义务和责任承担这些费用。</w:t>
      </w:r>
    </w:p>
    <w:p>
      <w:pPr>
        <w:pStyle w:val="7"/>
        <w:spacing w:before="0" w:after="0" w:line="460" w:lineRule="exact"/>
        <w:ind w:firstLine="56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4.2本次招标由代理机构收取标书工本费与中标服务费（中标服务费由相关中标供应商支付）。其中招标文件工本费300元；招标代理费参照</w:t>
      </w:r>
      <w:r>
        <w:rPr>
          <w:rFonts w:hint="eastAsia" w:ascii="宋体" w:hAnsi="宋体" w:eastAsia="宋体" w:cs="宋体"/>
          <w:b w:val="0"/>
          <w:bCs w:val="0"/>
          <w:color w:val="auto"/>
          <w:highlight w:val="none"/>
          <w:lang w:val="en-US" w:eastAsia="zh-CN"/>
        </w:rPr>
        <w:t>发改</w:t>
      </w:r>
      <w:r>
        <w:rPr>
          <w:rFonts w:hint="eastAsia" w:ascii="宋体" w:hAnsi="宋体" w:eastAsia="宋体" w:cs="宋体"/>
          <w:b w:val="0"/>
          <w:bCs w:val="0"/>
          <w:color w:val="auto"/>
          <w:highlight w:val="none"/>
        </w:rPr>
        <w:t>价格[2</w:t>
      </w:r>
      <w:r>
        <w:rPr>
          <w:rFonts w:hint="eastAsia" w:ascii="宋体" w:hAnsi="宋体" w:eastAsia="宋体" w:cs="宋体"/>
          <w:b w:val="0"/>
          <w:bCs w:val="0"/>
          <w:color w:val="auto"/>
          <w:highlight w:val="none"/>
          <w:lang w:val="en-US" w:eastAsia="zh-CN"/>
        </w:rPr>
        <w:t>014</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534</w:t>
      </w:r>
      <w:r>
        <w:rPr>
          <w:rFonts w:hint="eastAsia" w:ascii="宋体" w:hAnsi="宋体" w:eastAsia="宋体" w:cs="宋体"/>
          <w:b w:val="0"/>
          <w:bCs w:val="0"/>
          <w:color w:val="auto"/>
          <w:highlight w:val="none"/>
        </w:rPr>
        <w:t>号文标准</w:t>
      </w:r>
      <w:r>
        <w:rPr>
          <w:rFonts w:hint="eastAsia" w:ascii="宋体" w:hAnsi="宋体" w:eastAsia="宋体" w:cs="宋体"/>
          <w:b w:val="0"/>
          <w:bCs w:val="0"/>
          <w:color w:val="auto"/>
          <w:highlight w:val="none"/>
          <w:lang w:val="en-US" w:eastAsia="zh-CN"/>
        </w:rPr>
        <w:t>68%</w:t>
      </w:r>
      <w:r>
        <w:rPr>
          <w:rFonts w:hint="eastAsia" w:ascii="宋体" w:hAnsi="宋体" w:eastAsia="宋体" w:cs="宋体"/>
          <w:b w:val="0"/>
          <w:bCs w:val="0"/>
          <w:color w:val="auto"/>
          <w:highlight w:val="none"/>
        </w:rPr>
        <w:t>收取，由</w:t>
      </w:r>
      <w:r>
        <w:rPr>
          <w:rFonts w:hint="eastAsia" w:ascii="宋体" w:hAnsi="宋体" w:eastAsia="宋体" w:cs="宋体"/>
          <w:b w:val="0"/>
          <w:bCs w:val="0"/>
          <w:color w:val="auto"/>
          <w:highlight w:val="none"/>
          <w:lang w:val="en-US" w:eastAsia="zh-CN"/>
        </w:rPr>
        <w:t>中标</w:t>
      </w:r>
      <w:r>
        <w:rPr>
          <w:rFonts w:hint="eastAsia" w:ascii="宋体" w:hAnsi="宋体" w:eastAsia="宋体" w:cs="宋体"/>
          <w:b w:val="0"/>
          <w:bCs w:val="0"/>
          <w:color w:val="auto"/>
          <w:highlight w:val="none"/>
        </w:rPr>
        <w:t>方支付。</w:t>
      </w:r>
    </w:p>
    <w:p>
      <w:pPr>
        <w:pStyle w:val="7"/>
        <w:spacing w:before="0" w:after="0" w:line="460" w:lineRule="exact"/>
        <w:ind w:firstLine="56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4.3因中标人原因影响中标结果的，费用不予退还。</w:t>
      </w:r>
    </w:p>
    <w:p>
      <w:pPr>
        <w:pStyle w:val="7"/>
        <w:spacing w:before="0" w:after="0" w:line="460" w:lineRule="exact"/>
        <w:ind w:firstLine="562" w:firstLineChars="200"/>
        <w:rPr>
          <w:rFonts w:hint="eastAsia" w:ascii="宋体" w:hAnsi="宋体" w:eastAsia="宋体" w:cs="宋体"/>
          <w:b w:val="0"/>
          <w:bCs w:val="0"/>
          <w:color w:val="auto"/>
          <w:highlight w:val="none"/>
        </w:rPr>
      </w:pPr>
      <w:r>
        <w:rPr>
          <w:rFonts w:hint="eastAsia" w:ascii="宋体" w:hAnsi="宋体" w:eastAsia="宋体" w:cs="宋体"/>
          <w:color w:val="auto"/>
          <w:highlight w:val="none"/>
        </w:rPr>
        <w:t>5、</w:t>
      </w:r>
      <w:r>
        <w:rPr>
          <w:rFonts w:hint="eastAsia" w:ascii="宋体" w:hAnsi="宋体" w:eastAsia="宋体" w:cs="宋体"/>
          <w:b w:val="0"/>
          <w:bCs w:val="0"/>
          <w:color w:val="auto"/>
          <w:highlight w:val="none"/>
        </w:rPr>
        <w:t>招标文件的约束力</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5.1</w:t>
      </w:r>
      <w:r>
        <w:rPr>
          <w:rFonts w:hint="eastAsia" w:ascii="宋体" w:hAnsi="宋体" w:eastAsia="宋体" w:cs="宋体"/>
          <w:color w:val="auto"/>
          <w:sz w:val="28"/>
          <w:szCs w:val="28"/>
          <w:highlight w:val="none"/>
        </w:rPr>
        <w:t xml:space="preserve"> 投标人一旦参加本项目采购活动，即被认为接受了本招标文件的规定和约束。</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5.2</w:t>
      </w:r>
      <w:r>
        <w:rPr>
          <w:rFonts w:hint="eastAsia" w:ascii="宋体" w:hAnsi="宋体" w:eastAsia="宋体" w:cs="宋体"/>
          <w:color w:val="auto"/>
          <w:sz w:val="28"/>
          <w:szCs w:val="28"/>
          <w:highlight w:val="none"/>
        </w:rPr>
        <w:t xml:space="preserve"> 本招标文件由代理机构负责解释。</w:t>
      </w:r>
    </w:p>
    <w:p>
      <w:pPr>
        <w:pStyle w:val="6"/>
        <w:spacing w:before="0" w:after="0" w:line="460" w:lineRule="exact"/>
        <w:ind w:firstLine="560" w:firstLineChars="200"/>
        <w:rPr>
          <w:rFonts w:hint="eastAsia" w:ascii="宋体" w:hAnsi="宋体" w:eastAsia="宋体" w:cs="宋体"/>
          <w:b w:val="0"/>
          <w:color w:val="auto"/>
          <w:sz w:val="28"/>
          <w:szCs w:val="28"/>
          <w:highlight w:val="none"/>
        </w:rPr>
      </w:pPr>
      <w:bookmarkStart w:id="30" w:name="_Toc16938525"/>
      <w:bookmarkStart w:id="31" w:name="_Toc120614215"/>
      <w:bookmarkStart w:id="32" w:name="_Toc20823281"/>
      <w:bookmarkStart w:id="33" w:name="_Toc513029209"/>
      <w:r>
        <w:rPr>
          <w:rFonts w:hint="eastAsia" w:ascii="宋体" w:hAnsi="宋体" w:eastAsia="宋体" w:cs="宋体"/>
          <w:b w:val="0"/>
          <w:color w:val="auto"/>
          <w:sz w:val="28"/>
          <w:szCs w:val="28"/>
          <w:highlight w:val="none"/>
        </w:rPr>
        <w:t>二、招标文件</w:t>
      </w:r>
      <w:bookmarkEnd w:id="30"/>
      <w:bookmarkEnd w:id="31"/>
      <w:bookmarkEnd w:id="32"/>
      <w:bookmarkEnd w:id="33"/>
    </w:p>
    <w:p>
      <w:pPr>
        <w:pStyle w:val="7"/>
        <w:spacing w:before="0" w:after="0" w:line="460" w:lineRule="exact"/>
        <w:ind w:firstLine="560" w:firstLineChars="200"/>
        <w:rPr>
          <w:rFonts w:hint="eastAsia" w:ascii="宋体" w:hAnsi="宋体" w:eastAsia="宋体" w:cs="宋体"/>
          <w:b w:val="0"/>
          <w:bCs w:val="0"/>
          <w:color w:val="auto"/>
          <w:highlight w:val="none"/>
        </w:rPr>
      </w:pPr>
      <w:bookmarkStart w:id="34" w:name="_Toc513029210"/>
      <w:bookmarkStart w:id="35" w:name="_Toc16938526"/>
      <w:bookmarkStart w:id="36" w:name="_Toc20823282"/>
      <w:r>
        <w:rPr>
          <w:rFonts w:hint="eastAsia" w:ascii="宋体" w:hAnsi="宋体" w:eastAsia="宋体" w:cs="宋体"/>
          <w:b w:val="0"/>
          <w:bCs w:val="0"/>
          <w:color w:val="auto"/>
          <w:highlight w:val="none"/>
        </w:rPr>
        <w:t>6、招标文件构成</w:t>
      </w:r>
      <w:bookmarkEnd w:id="34"/>
      <w:bookmarkEnd w:id="35"/>
      <w:bookmarkEnd w:id="36"/>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6.1</w:t>
      </w:r>
      <w:r>
        <w:rPr>
          <w:rFonts w:hint="eastAsia" w:ascii="宋体" w:hAnsi="宋体" w:eastAsia="宋体" w:cs="宋体"/>
          <w:color w:val="auto"/>
          <w:sz w:val="28"/>
          <w:szCs w:val="28"/>
          <w:highlight w:val="none"/>
        </w:rPr>
        <w:t xml:space="preserve"> 招标文件由以下部分组成：</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（1）投标邀请</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（2）投标人须知</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（3）合同条款及格式</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（4）项目需求</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（5）评标方法与评标标准</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（6）投标文件组成</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（7）投标文件格式</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请仔细检查招标文件是否齐全，如有缺、漏请立即与招标代理机构联系解决。</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6.2</w:t>
      </w:r>
      <w:r>
        <w:rPr>
          <w:rFonts w:hint="eastAsia" w:ascii="宋体" w:hAnsi="宋体" w:eastAsia="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37" w:name="_Toc513029211"/>
      <w:bookmarkStart w:id="38" w:name="_Toc462564070"/>
      <w:bookmarkStart w:id="39" w:name="_Toc16938527"/>
      <w:bookmarkStart w:id="40" w:name="_Toc20823283"/>
      <w:r>
        <w:rPr>
          <w:rFonts w:hint="eastAsia" w:ascii="宋体" w:hAnsi="宋体" w:eastAsia="宋体" w:cs="宋体"/>
          <w:b w:val="0"/>
          <w:bCs w:val="0"/>
          <w:color w:val="auto"/>
          <w:highlight w:val="none"/>
        </w:rPr>
        <w:t>7、招标文件的</w:t>
      </w:r>
      <w:bookmarkEnd w:id="37"/>
      <w:bookmarkEnd w:id="38"/>
      <w:bookmarkEnd w:id="39"/>
      <w:bookmarkEnd w:id="40"/>
      <w:r>
        <w:rPr>
          <w:rFonts w:hint="eastAsia" w:ascii="宋体" w:hAnsi="宋体" w:eastAsia="宋体" w:cs="宋体"/>
          <w:b w:val="0"/>
          <w:bCs w:val="0"/>
          <w:color w:val="auto"/>
          <w:highlight w:val="none"/>
        </w:rPr>
        <w:t>澄清</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7.1</w:t>
      </w:r>
      <w:r>
        <w:rPr>
          <w:rFonts w:hint="eastAsia" w:ascii="宋体" w:hAnsi="宋体" w:eastAsia="宋体" w:cs="宋体"/>
          <w:color w:val="auto"/>
          <w:sz w:val="28"/>
          <w:szCs w:val="28"/>
          <w:highlight w:val="none"/>
        </w:rPr>
        <w:t xml:space="preserve"> 任何要求对招标文件进行澄清的投标人，应在投标截止期</w:t>
      </w:r>
      <w:r>
        <w:rPr>
          <w:rFonts w:hint="eastAsia" w:ascii="宋体" w:hAnsi="宋体" w:eastAsia="宋体" w:cs="宋体"/>
          <w:b/>
          <w:color w:val="auto"/>
          <w:sz w:val="28"/>
          <w:szCs w:val="28"/>
          <w:highlight w:val="none"/>
        </w:rPr>
        <w:t>十日</w:t>
      </w:r>
      <w:r>
        <w:rPr>
          <w:rFonts w:hint="eastAsia" w:ascii="宋体" w:hAnsi="宋体" w:eastAsia="宋体" w:cs="宋体"/>
          <w:color w:val="auto"/>
          <w:sz w:val="28"/>
          <w:szCs w:val="28"/>
          <w:highlight w:val="none"/>
        </w:rPr>
        <w:t>前按招标公告中的通讯地址，以书面形式通知招标代理机构。</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41" w:name="_Toc462564071"/>
      <w:bookmarkStart w:id="42" w:name="_Toc513029212"/>
      <w:bookmarkStart w:id="43" w:name="_Toc20823284"/>
      <w:bookmarkStart w:id="44" w:name="_Toc16938528"/>
      <w:r>
        <w:rPr>
          <w:rFonts w:hint="eastAsia" w:ascii="宋体" w:hAnsi="宋体" w:eastAsia="宋体" w:cs="宋体"/>
          <w:b w:val="0"/>
          <w:bCs w:val="0"/>
          <w:color w:val="auto"/>
          <w:highlight w:val="none"/>
        </w:rPr>
        <w:t>8、招标文件的修改</w:t>
      </w:r>
      <w:bookmarkEnd w:id="41"/>
      <w:bookmarkEnd w:id="42"/>
      <w:bookmarkEnd w:id="43"/>
      <w:bookmarkEnd w:id="44"/>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8.1</w:t>
      </w:r>
      <w:r>
        <w:rPr>
          <w:rFonts w:hint="eastAsia" w:ascii="宋体" w:hAnsi="宋体" w:eastAsia="宋体" w:cs="宋体"/>
          <w:color w:val="auto"/>
          <w:sz w:val="28"/>
          <w:szCs w:val="28"/>
          <w:highlight w:val="none"/>
        </w:rPr>
        <w:t xml:space="preserve"> 在投标截止时间前，招标代理机构可以对招标文件进行修改。</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8.2</w:t>
      </w:r>
      <w:r>
        <w:rPr>
          <w:rFonts w:hint="eastAsia" w:ascii="宋体" w:hAnsi="宋体" w:eastAsia="宋体" w:cs="宋体"/>
          <w:color w:val="auto"/>
          <w:sz w:val="28"/>
          <w:szCs w:val="28"/>
          <w:highlight w:val="none"/>
        </w:rPr>
        <w:t>招标代理机构有权按照法定的要求推迟投标截止日期和开标日期。</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8.3</w:t>
      </w:r>
      <w:r>
        <w:rPr>
          <w:rFonts w:hint="eastAsia" w:ascii="宋体" w:hAnsi="宋体" w:eastAsia="宋体" w:cs="宋体"/>
          <w:color w:val="auto"/>
          <w:sz w:val="28"/>
          <w:szCs w:val="28"/>
          <w:highlight w:val="none"/>
        </w:rPr>
        <w:t>招标文件的修改将在江苏招标投标公共服务平台网公布，补充文件将作为招标文件的组成部分，并对投标人具有约束力。</w:t>
      </w:r>
    </w:p>
    <w:p>
      <w:pPr>
        <w:pStyle w:val="6"/>
        <w:spacing w:before="0" w:after="0" w:line="460" w:lineRule="exact"/>
        <w:ind w:firstLine="560" w:firstLineChars="200"/>
        <w:rPr>
          <w:rFonts w:hint="eastAsia" w:ascii="宋体" w:hAnsi="宋体" w:eastAsia="宋体" w:cs="宋体"/>
          <w:b w:val="0"/>
          <w:color w:val="auto"/>
          <w:sz w:val="28"/>
          <w:szCs w:val="28"/>
          <w:highlight w:val="none"/>
        </w:rPr>
      </w:pPr>
      <w:bookmarkStart w:id="45" w:name="_Toc20823285"/>
      <w:bookmarkStart w:id="46" w:name="_Toc120614216"/>
      <w:bookmarkStart w:id="47" w:name="_Toc16938529"/>
      <w:bookmarkStart w:id="48" w:name="_Toc462564072"/>
      <w:bookmarkStart w:id="49" w:name="_Toc513029213"/>
      <w:r>
        <w:rPr>
          <w:rFonts w:hint="eastAsia" w:ascii="宋体" w:hAnsi="宋体" w:eastAsia="宋体" w:cs="宋体"/>
          <w:b w:val="0"/>
          <w:color w:val="auto"/>
          <w:sz w:val="28"/>
          <w:szCs w:val="28"/>
          <w:highlight w:val="none"/>
        </w:rPr>
        <w:t>三、投标文件的编制</w:t>
      </w:r>
      <w:bookmarkEnd w:id="45"/>
      <w:bookmarkEnd w:id="46"/>
      <w:bookmarkEnd w:id="47"/>
      <w:bookmarkEnd w:id="48"/>
      <w:bookmarkEnd w:id="49"/>
    </w:p>
    <w:p>
      <w:pPr>
        <w:pStyle w:val="7"/>
        <w:spacing w:before="0" w:after="0" w:line="460" w:lineRule="exact"/>
        <w:ind w:firstLine="560" w:firstLineChars="200"/>
        <w:rPr>
          <w:rFonts w:hint="eastAsia" w:ascii="宋体" w:hAnsi="宋体" w:eastAsia="宋体" w:cs="宋体"/>
          <w:bCs w:val="0"/>
          <w:color w:val="auto"/>
          <w:highlight w:val="none"/>
        </w:rPr>
      </w:pPr>
      <w:bookmarkStart w:id="50" w:name="_Toc513029214"/>
      <w:bookmarkStart w:id="51" w:name="_Toc462564073"/>
      <w:bookmarkStart w:id="52" w:name="_Toc16938530"/>
      <w:bookmarkStart w:id="53" w:name="_Toc20823286"/>
      <w:r>
        <w:rPr>
          <w:rFonts w:hint="eastAsia" w:ascii="宋体" w:hAnsi="宋体" w:eastAsia="宋体" w:cs="宋体"/>
          <w:b w:val="0"/>
          <w:bCs w:val="0"/>
          <w:color w:val="auto"/>
          <w:highlight w:val="none"/>
        </w:rPr>
        <w:t>9、投标文件的语言及度量衡单位</w:t>
      </w:r>
      <w:bookmarkEnd w:id="50"/>
      <w:bookmarkEnd w:id="51"/>
      <w:bookmarkEnd w:id="52"/>
      <w:bookmarkEnd w:id="53"/>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9.1</w:t>
      </w:r>
      <w:r>
        <w:rPr>
          <w:rFonts w:hint="eastAsia" w:ascii="宋体" w:hAnsi="宋体" w:eastAsia="宋体" w:cs="宋体"/>
          <w:color w:val="auto"/>
          <w:sz w:val="28"/>
          <w:szCs w:val="28"/>
          <w:highlight w:val="none"/>
        </w:rPr>
        <w:t xml:space="preserve"> 投标人提交的投标文件以及投标人与招标代理机构就有关投标的所有来往通知、函件和文件均应使用</w:t>
      </w:r>
      <w:r>
        <w:rPr>
          <w:rFonts w:hint="eastAsia" w:ascii="宋体" w:hAnsi="宋体" w:eastAsia="宋体" w:cs="宋体"/>
          <w:b/>
          <w:bCs/>
          <w:color w:val="auto"/>
          <w:sz w:val="28"/>
          <w:szCs w:val="28"/>
          <w:highlight w:val="none"/>
        </w:rPr>
        <w:t>简体中文</w:t>
      </w:r>
      <w:r>
        <w:rPr>
          <w:rFonts w:hint="eastAsia" w:ascii="宋体" w:hAnsi="宋体" w:eastAsia="宋体" w:cs="宋体"/>
          <w:color w:val="auto"/>
          <w:sz w:val="28"/>
          <w:szCs w:val="28"/>
          <w:highlight w:val="none"/>
        </w:rPr>
        <w:t>。</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9.2</w:t>
      </w:r>
      <w:r>
        <w:rPr>
          <w:rFonts w:hint="eastAsia" w:ascii="宋体" w:hAnsi="宋体" w:eastAsia="宋体" w:cs="宋体"/>
          <w:color w:val="auto"/>
          <w:sz w:val="28"/>
          <w:szCs w:val="28"/>
          <w:highlight w:val="none"/>
        </w:rPr>
        <w:t xml:space="preserve"> 除技术性能另有规定外，投标文件所使用的度量衡单位，均须采用国家法定计量单位。</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54" w:name="_Toc513029215"/>
      <w:bookmarkStart w:id="55" w:name="_Toc462564074"/>
      <w:bookmarkStart w:id="56" w:name="_Toc20823287"/>
      <w:bookmarkStart w:id="57" w:name="_Toc16938531"/>
      <w:r>
        <w:rPr>
          <w:rFonts w:hint="eastAsia" w:ascii="宋体" w:hAnsi="宋体" w:eastAsia="宋体" w:cs="宋体"/>
          <w:b w:val="0"/>
          <w:bCs w:val="0"/>
          <w:color w:val="auto"/>
          <w:highlight w:val="none"/>
        </w:rPr>
        <w:t>10、投标文件构成</w:t>
      </w:r>
      <w:bookmarkEnd w:id="54"/>
      <w:bookmarkEnd w:id="55"/>
      <w:bookmarkEnd w:id="56"/>
      <w:bookmarkEnd w:id="57"/>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10.1</w:t>
      </w:r>
      <w:r>
        <w:rPr>
          <w:rFonts w:hint="eastAsia" w:ascii="宋体" w:hAnsi="宋体" w:eastAsia="宋体" w:cs="宋体"/>
          <w:color w:val="auto"/>
          <w:sz w:val="28"/>
          <w:szCs w:val="28"/>
          <w:highlight w:val="none"/>
        </w:rPr>
        <w:t xml:space="preserve"> 投标人编写的投标文件应包括资信证明文件、投标配置表、供货一览表、技术参数响应及偏离表、商务条款响应及偏离表、技术及售后服务承诺书、投标响应函、开标一览表、分项报价表等部分；</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投标人应将投标文件按顺序装订成册，并编制投标文件资料目录。</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58" w:name="_Hlt26954838"/>
      <w:bookmarkEnd w:id="58"/>
      <w:bookmarkStart w:id="59" w:name="_Hlt26668975"/>
      <w:bookmarkEnd w:id="59"/>
      <w:bookmarkStart w:id="60" w:name="_Hlt26670360"/>
      <w:bookmarkEnd w:id="60"/>
      <w:bookmarkStart w:id="61" w:name="_Toc49090509"/>
      <w:bookmarkStart w:id="62" w:name="_Toc14577357"/>
      <w:bookmarkStart w:id="63" w:name="_Toc513029219"/>
      <w:bookmarkStart w:id="64" w:name="_Toc14577354"/>
      <w:bookmarkStart w:id="65" w:name="_Toc513029216"/>
      <w:bookmarkStart w:id="66" w:name="_Toc49090507"/>
      <w:r>
        <w:rPr>
          <w:rFonts w:hint="eastAsia" w:ascii="宋体" w:hAnsi="宋体" w:eastAsia="宋体" w:cs="宋体"/>
          <w:b w:val="0"/>
          <w:bCs w:val="0"/>
          <w:color w:val="auto"/>
          <w:highlight w:val="none"/>
        </w:rPr>
        <w:t>11、证明投标人资格及符合招标文件规定的文件</w:t>
      </w:r>
      <w:bookmarkEnd w:id="61"/>
      <w:bookmarkEnd w:id="62"/>
      <w:bookmarkEnd w:id="63"/>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w:t>
      </w:r>
      <w:bookmarkStart w:id="67" w:name="_Hlt26668999"/>
      <w:bookmarkEnd w:id="67"/>
      <w:r>
        <w:rPr>
          <w:rFonts w:hint="eastAsia" w:ascii="宋体" w:hAnsi="宋体" w:eastAsia="宋体" w:cs="宋体"/>
          <w:color w:val="auto"/>
          <w:sz w:val="28"/>
          <w:szCs w:val="28"/>
          <w:highlight w:val="none"/>
        </w:rPr>
        <w:t>投标人应按要求提交资格证明文件及符合招标文件规定的文件。</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11.2投标人应提交证明其有资格参加投标和中标后有能力独立履行合同的文件。</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11.3投标人除必须具有履行合同所需提供的货物、服务能力外，还必须具备相应的财务、技术方面的能力。</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11.4投标人应提交根据合同要求提供的证明产品质量合格以及符合招标文件规定的证明文件。</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11.5证明投标人所提供货物、服务与招标文件的要求相一致的文件可以是手册、图纸、文字资料和数据</w:t>
      </w:r>
      <w:r>
        <w:rPr>
          <w:rFonts w:hint="eastAsia" w:ascii="宋体" w:hAnsi="宋体" w:eastAsia="宋体" w:cs="宋体"/>
          <w:bCs/>
          <w:color w:val="auto"/>
          <w:sz w:val="28"/>
          <w:szCs w:val="28"/>
          <w:highlight w:val="none"/>
        </w:rPr>
        <w:t>。</w:t>
      </w:r>
    </w:p>
    <w:bookmarkEnd w:id="64"/>
    <w:bookmarkEnd w:id="65"/>
    <w:bookmarkEnd w:id="66"/>
    <w:p>
      <w:pPr>
        <w:pStyle w:val="7"/>
        <w:spacing w:before="0" w:after="0" w:line="460" w:lineRule="exact"/>
        <w:ind w:firstLine="560" w:firstLineChars="200"/>
        <w:rPr>
          <w:rFonts w:hint="eastAsia" w:ascii="宋体" w:hAnsi="宋体" w:eastAsia="宋体" w:cs="宋体"/>
          <w:b w:val="0"/>
          <w:bCs w:val="0"/>
          <w:color w:val="auto"/>
          <w:highlight w:val="none"/>
        </w:rPr>
      </w:pPr>
      <w:bookmarkStart w:id="68" w:name="_Toc14577355"/>
      <w:bookmarkStart w:id="69" w:name="_Toc49090508"/>
      <w:r>
        <w:rPr>
          <w:rFonts w:hint="eastAsia" w:ascii="宋体" w:hAnsi="宋体" w:eastAsia="宋体" w:cs="宋体"/>
          <w:b w:val="0"/>
          <w:bCs w:val="0"/>
          <w:color w:val="auto"/>
          <w:highlight w:val="none"/>
        </w:rPr>
        <w:t>12、提供一览表和</w:t>
      </w:r>
      <w:bookmarkEnd w:id="68"/>
      <w:r>
        <w:rPr>
          <w:rFonts w:hint="eastAsia" w:ascii="宋体" w:hAnsi="宋体" w:eastAsia="宋体" w:cs="宋体"/>
          <w:b w:val="0"/>
          <w:bCs w:val="0"/>
          <w:color w:val="auto"/>
          <w:highlight w:val="none"/>
        </w:rPr>
        <w:t>投标配置表、分项报价表</w:t>
      </w:r>
      <w:bookmarkEnd w:id="69"/>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12.1</w:t>
      </w:r>
      <w:r>
        <w:rPr>
          <w:rFonts w:hint="eastAsia" w:ascii="宋体" w:hAnsi="宋体" w:eastAsia="宋体" w:cs="宋体"/>
          <w:color w:val="auto"/>
          <w:sz w:val="28"/>
          <w:szCs w:val="28"/>
          <w:highlight w:val="none"/>
        </w:rPr>
        <w:t xml:space="preserve"> 投</w:t>
      </w:r>
      <w:bookmarkStart w:id="70" w:name="_Hlt26954840"/>
      <w:bookmarkEnd w:id="70"/>
      <w:r>
        <w:rPr>
          <w:rFonts w:hint="eastAsia" w:ascii="宋体" w:hAnsi="宋体" w:eastAsia="宋体" w:cs="宋体"/>
          <w:color w:val="auto"/>
          <w:sz w:val="28"/>
          <w:szCs w:val="28"/>
          <w:highlight w:val="none"/>
        </w:rPr>
        <w:t>标人应按照招标文件规定格式填报提供一览表、投标配置表、分项报价表</w:t>
      </w:r>
      <w:bookmarkStart w:id="71" w:name="_Hlt26670399"/>
      <w:bookmarkEnd w:id="71"/>
      <w:r>
        <w:rPr>
          <w:rFonts w:hint="eastAsia" w:ascii="宋体" w:hAnsi="宋体" w:eastAsia="宋体" w:cs="宋体"/>
          <w:color w:val="auto"/>
          <w:sz w:val="28"/>
          <w:szCs w:val="28"/>
          <w:highlight w:val="none"/>
        </w:rPr>
        <w:t>，在表中标明所提供的设备品牌、规格、型号、原产地、主要部件型号及其功能的中文说明和提供期。每项货物、服务和服务等只允许有一个报价，任何有选择的报价将不予接受(如有备选配件，备选配件的报价不属于选择的报价)。</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12.2</w:t>
      </w:r>
      <w:r>
        <w:rPr>
          <w:rFonts w:hint="eastAsia" w:ascii="宋体" w:hAnsi="宋体" w:eastAsia="宋体" w:cs="宋体"/>
          <w:color w:val="auto"/>
          <w:sz w:val="28"/>
          <w:szCs w:val="28"/>
          <w:highlight w:val="none"/>
        </w:rPr>
        <w:t xml:space="preserve"> 标的物</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采购人需求的货物、服务供应、回收及有关技术服务等</w:t>
      </w:r>
      <w:r>
        <w:rPr>
          <w:rFonts w:hint="eastAsia" w:ascii="宋体" w:hAnsi="宋体" w:eastAsia="宋体" w:cs="宋体"/>
          <w:color w:val="auto"/>
          <w:sz w:val="28"/>
          <w:szCs w:val="28"/>
          <w:highlight w:val="none"/>
        </w:rPr>
        <w:t>。</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12.3</w:t>
      </w:r>
      <w:r>
        <w:rPr>
          <w:rFonts w:hint="eastAsia" w:ascii="宋体" w:hAnsi="宋体" w:eastAsia="宋体" w:cs="宋体"/>
          <w:bCs/>
          <w:color w:val="auto"/>
          <w:sz w:val="28"/>
          <w:szCs w:val="28"/>
          <w:highlight w:val="none"/>
        </w:rPr>
        <w:t>有关费用处理</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招标报价采用总承包方式，投标人的报价应包括所投产品费用、税金、回收及其他有关的为完成本项目发生的所有费用，招标文件中另有规定的除外。</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12.4</w:t>
      </w:r>
      <w:r>
        <w:rPr>
          <w:rFonts w:hint="eastAsia" w:ascii="宋体" w:hAnsi="宋体" w:eastAsia="宋体" w:cs="宋体"/>
          <w:bCs/>
          <w:color w:val="auto"/>
          <w:sz w:val="28"/>
          <w:szCs w:val="28"/>
          <w:highlight w:val="none"/>
        </w:rPr>
        <w:t>其它费用处理</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招标文件未列明，而投标人认为必需的费用也需列入报价。</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12.5</w:t>
      </w:r>
      <w:r>
        <w:rPr>
          <w:rFonts w:hint="eastAsia" w:ascii="宋体" w:hAnsi="宋体" w:eastAsia="宋体" w:cs="宋体"/>
          <w:bCs/>
          <w:color w:val="auto"/>
          <w:sz w:val="28"/>
          <w:szCs w:val="28"/>
          <w:highlight w:val="none"/>
        </w:rPr>
        <w:t>投标货币</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投标文件中的货物、服务单价和总价无特殊规定的采用人民币报价，以元为单位标注。</w:t>
      </w:r>
      <w:r>
        <w:rPr>
          <w:rFonts w:hint="eastAsia" w:ascii="宋体" w:hAnsi="宋体" w:eastAsia="宋体" w:cs="宋体"/>
          <w:color w:val="auto"/>
          <w:sz w:val="28"/>
          <w:szCs w:val="28"/>
          <w:highlight w:val="none"/>
        </w:rPr>
        <w:t>招标文件中另有规定的按规定执行。</w:t>
      </w:r>
    </w:p>
    <w:p>
      <w:pPr>
        <w:spacing w:line="4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zh-CN"/>
        </w:rPr>
        <w:t>、服务承诺及售后服务机构、人员的情况介绍</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13、1</w:t>
      </w:r>
      <w:r>
        <w:rPr>
          <w:rFonts w:hint="eastAsia" w:ascii="宋体" w:hAnsi="宋体" w:eastAsia="宋体" w:cs="宋体"/>
          <w:color w:val="auto"/>
          <w:sz w:val="28"/>
          <w:szCs w:val="28"/>
          <w:highlight w:val="none"/>
        </w:rPr>
        <w:t>投标人的服务承诺应按不低于招标文件中商务要求的标准。</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72" w:name="_Toc14577359"/>
      <w:bookmarkStart w:id="73" w:name="_Toc49090510"/>
      <w:r>
        <w:rPr>
          <w:rFonts w:hint="eastAsia" w:ascii="宋体" w:hAnsi="宋体" w:eastAsia="宋体" w:cs="宋体"/>
          <w:b w:val="0"/>
          <w:bCs w:val="0"/>
          <w:color w:val="auto"/>
          <w:highlight w:val="none"/>
        </w:rPr>
        <w:t>14、投标函和开标一览表</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14.1</w:t>
      </w:r>
      <w:r>
        <w:rPr>
          <w:rFonts w:hint="eastAsia" w:ascii="宋体" w:hAnsi="宋体" w:eastAsia="宋体" w:cs="宋体"/>
          <w:color w:val="auto"/>
          <w:sz w:val="28"/>
          <w:szCs w:val="28"/>
          <w:highlight w:val="none"/>
        </w:rPr>
        <w:t>投标人应按照招标文件中提供的格式完整、正确填写投标函、开标一览表。</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15、开标一览表中的价格应与投标文件中分项报价表中的价格一致，如不一致，</w:t>
      </w:r>
      <w:r>
        <w:rPr>
          <w:rFonts w:hint="eastAsia" w:ascii="宋体" w:hAnsi="宋体" w:eastAsia="宋体" w:cs="宋体"/>
          <w:color w:val="auto"/>
          <w:sz w:val="28"/>
          <w:szCs w:val="28"/>
          <w:highlight w:val="none"/>
        </w:rPr>
        <w:t>不作为无效投标处理</w:t>
      </w:r>
      <w:r>
        <w:rPr>
          <w:rFonts w:hint="eastAsia" w:ascii="宋体" w:hAnsi="宋体" w:eastAsia="宋体" w:cs="宋体"/>
          <w:bCs/>
          <w:color w:val="auto"/>
          <w:sz w:val="28"/>
          <w:szCs w:val="28"/>
          <w:highlight w:val="none"/>
        </w:rPr>
        <w:t>，但评标时按开标一览表中价格为准。</w:t>
      </w:r>
    </w:p>
    <w:bookmarkEnd w:id="72"/>
    <w:bookmarkEnd w:id="73"/>
    <w:p>
      <w:pPr>
        <w:pStyle w:val="7"/>
        <w:spacing w:before="0" w:after="0" w:line="460" w:lineRule="exact"/>
        <w:ind w:firstLine="560" w:firstLineChars="200"/>
        <w:rPr>
          <w:rFonts w:hint="eastAsia" w:ascii="宋体" w:hAnsi="宋体" w:eastAsia="宋体" w:cs="宋体"/>
          <w:b w:val="0"/>
          <w:bCs w:val="0"/>
          <w:color w:val="auto"/>
          <w:highlight w:val="none"/>
        </w:rPr>
      </w:pPr>
      <w:bookmarkStart w:id="74" w:name="_Hlt26954850"/>
      <w:bookmarkEnd w:id="74"/>
      <w:bookmarkStart w:id="75" w:name="_Hlt26954734"/>
      <w:bookmarkEnd w:id="75"/>
      <w:bookmarkStart w:id="76" w:name="_Hlt26670489"/>
      <w:bookmarkEnd w:id="76"/>
      <w:bookmarkStart w:id="77" w:name="_Toc14577360"/>
      <w:bookmarkStart w:id="78" w:name="_Toc49090511"/>
      <w:r>
        <w:rPr>
          <w:rFonts w:hint="eastAsia" w:ascii="宋体" w:hAnsi="宋体" w:eastAsia="宋体" w:cs="宋体"/>
          <w:b w:val="0"/>
          <w:bCs w:val="0"/>
          <w:color w:val="auto"/>
          <w:highlight w:val="none"/>
        </w:rPr>
        <w:t>16、投标有效期</w:t>
      </w:r>
      <w:bookmarkEnd w:id="77"/>
      <w:bookmarkEnd w:id="78"/>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16.1</w:t>
      </w:r>
      <w:r>
        <w:rPr>
          <w:rFonts w:hint="eastAsia" w:ascii="宋体" w:hAnsi="宋体" w:eastAsia="宋体" w:cs="宋体"/>
          <w:bCs/>
          <w:color w:val="auto"/>
          <w:sz w:val="28"/>
          <w:szCs w:val="28"/>
          <w:highlight w:val="none"/>
        </w:rPr>
        <w:t xml:space="preserve"> 投标有效期为招标代理机构规定的开标之日后</w:t>
      </w:r>
      <w:r>
        <w:rPr>
          <w:rFonts w:hint="eastAsia" w:ascii="宋体" w:hAnsi="宋体" w:eastAsia="宋体" w:cs="宋体"/>
          <w:b/>
          <w:color w:val="auto"/>
          <w:sz w:val="28"/>
          <w:szCs w:val="28"/>
          <w:highlight w:val="none"/>
          <w:u w:val="single"/>
        </w:rPr>
        <w:t>六十（60）天</w:t>
      </w:r>
      <w:r>
        <w:rPr>
          <w:rFonts w:hint="eastAsia" w:ascii="宋体" w:hAnsi="宋体" w:eastAsia="宋体" w:cs="宋体"/>
          <w:bCs/>
          <w:color w:val="auto"/>
          <w:sz w:val="28"/>
          <w:szCs w:val="28"/>
          <w:highlight w:val="none"/>
        </w:rPr>
        <w:t>。投标有效期比规定短的将被视为非响应性投标而予以拒绝。</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16.2</w:t>
      </w:r>
      <w:r>
        <w:rPr>
          <w:rFonts w:hint="eastAsia" w:ascii="宋体" w:hAnsi="宋体" w:eastAsia="宋体" w:cs="宋体"/>
          <w:bCs/>
          <w:color w:val="auto"/>
          <w:sz w:val="28"/>
          <w:szCs w:val="28"/>
          <w:highlight w:val="none"/>
        </w:rPr>
        <w:t xml:space="preserve"> 在特殊情况下，招标代理机构于原投标有效期满之前，可向投标人提出延长投标有效期的要求。这种要求与答复均应采用书面形式。投标人可以拒绝招标代理机构的这一要求而放弃投标</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同意延长投标有效期的投标人既不能要求也不允许修改其投标文件。</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79" w:name="_Hlt26954739"/>
      <w:bookmarkEnd w:id="79"/>
      <w:bookmarkStart w:id="80" w:name="_Hlt26954852"/>
      <w:bookmarkEnd w:id="80"/>
      <w:bookmarkStart w:id="81" w:name="_Toc49090512"/>
      <w:bookmarkStart w:id="82" w:name="_Toc14577361"/>
      <w:r>
        <w:rPr>
          <w:rFonts w:hint="eastAsia" w:ascii="宋体" w:hAnsi="宋体" w:eastAsia="宋体" w:cs="宋体"/>
          <w:b w:val="0"/>
          <w:bCs w:val="0"/>
          <w:color w:val="auto"/>
          <w:highlight w:val="none"/>
        </w:rPr>
        <w:t>17、投标文件份数和签署</w:t>
      </w:r>
      <w:bookmarkEnd w:id="81"/>
      <w:bookmarkEnd w:id="82"/>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17.1</w:t>
      </w:r>
      <w:r>
        <w:rPr>
          <w:rFonts w:hint="eastAsia" w:ascii="宋体" w:hAnsi="宋体" w:eastAsia="宋体" w:cs="宋体"/>
          <w:b/>
          <w:color w:val="auto"/>
          <w:sz w:val="28"/>
          <w:szCs w:val="28"/>
          <w:highlight w:val="none"/>
        </w:rPr>
        <w:t xml:space="preserve"> </w:t>
      </w:r>
      <w:r>
        <w:rPr>
          <w:rFonts w:hint="eastAsia" w:ascii="宋体" w:hAnsi="宋体" w:eastAsia="宋体" w:cs="宋体"/>
          <w:bCs/>
          <w:color w:val="auto"/>
          <w:sz w:val="28"/>
          <w:szCs w:val="28"/>
          <w:highlight w:val="none"/>
        </w:rPr>
        <w:t>投标人应严格按照招标公告要求的份数准备投标文件，每份投标文件须清楚地标明“正本”或“副本”字样。一旦正本和副本不符，以正本为准。</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17.2</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17.3</w:t>
      </w:r>
      <w:r>
        <w:rPr>
          <w:rFonts w:hint="eastAsia" w:ascii="宋体" w:hAnsi="宋体" w:eastAsia="宋体" w:cs="宋体"/>
          <w:bCs/>
          <w:color w:val="auto"/>
          <w:sz w:val="28"/>
          <w:szCs w:val="28"/>
          <w:highlight w:val="none"/>
        </w:rPr>
        <w:t xml:space="preserve"> 除投标人对错处做必要修改外，投标文件不得行间插字、涂改或增删。如有修改错漏处，必须由投标文件签署人签字或盖章。</w:t>
      </w:r>
    </w:p>
    <w:p>
      <w:pPr>
        <w:pStyle w:val="6"/>
        <w:spacing w:before="0" w:after="0" w:line="460" w:lineRule="exact"/>
        <w:ind w:firstLine="560" w:firstLineChars="200"/>
        <w:rPr>
          <w:rFonts w:hint="eastAsia" w:ascii="宋体" w:hAnsi="宋体" w:eastAsia="宋体" w:cs="宋体"/>
          <w:b w:val="0"/>
          <w:color w:val="auto"/>
          <w:sz w:val="28"/>
          <w:szCs w:val="28"/>
          <w:highlight w:val="none"/>
        </w:rPr>
      </w:pPr>
      <w:bookmarkStart w:id="83" w:name="_Toc120614217"/>
      <w:bookmarkStart w:id="84" w:name="_Toc20823296"/>
      <w:bookmarkStart w:id="85" w:name="_Toc16938540"/>
      <w:bookmarkStart w:id="86" w:name="_Toc513029224"/>
      <w:r>
        <w:rPr>
          <w:rFonts w:hint="eastAsia" w:ascii="宋体" w:hAnsi="宋体" w:eastAsia="宋体" w:cs="宋体"/>
          <w:b w:val="0"/>
          <w:color w:val="auto"/>
          <w:sz w:val="28"/>
          <w:szCs w:val="28"/>
          <w:highlight w:val="none"/>
        </w:rPr>
        <w:t>四、投标文件的递交</w:t>
      </w:r>
      <w:bookmarkEnd w:id="83"/>
      <w:bookmarkEnd w:id="84"/>
      <w:bookmarkEnd w:id="85"/>
      <w:bookmarkEnd w:id="86"/>
    </w:p>
    <w:p>
      <w:pPr>
        <w:pStyle w:val="7"/>
        <w:spacing w:before="0" w:after="0" w:line="460" w:lineRule="exact"/>
        <w:ind w:firstLine="560" w:firstLineChars="200"/>
        <w:rPr>
          <w:rFonts w:hint="eastAsia" w:ascii="宋体" w:hAnsi="宋体" w:eastAsia="宋体" w:cs="宋体"/>
          <w:b w:val="0"/>
          <w:bCs w:val="0"/>
          <w:color w:val="auto"/>
          <w:highlight w:val="none"/>
        </w:rPr>
      </w:pPr>
      <w:bookmarkStart w:id="87" w:name="_Toc462564084"/>
      <w:bookmarkStart w:id="88" w:name="_Toc16938541"/>
      <w:bookmarkStart w:id="89" w:name="_Toc513029225"/>
      <w:bookmarkStart w:id="90" w:name="_Toc20823297"/>
      <w:r>
        <w:rPr>
          <w:rFonts w:hint="eastAsia" w:ascii="宋体" w:hAnsi="宋体" w:eastAsia="宋体" w:cs="宋体"/>
          <w:b w:val="0"/>
          <w:bCs w:val="0"/>
          <w:color w:val="auto"/>
          <w:highlight w:val="none"/>
        </w:rPr>
        <w:t>18、投标文件的密封和标记</w:t>
      </w:r>
      <w:bookmarkEnd w:id="87"/>
      <w:bookmarkEnd w:id="88"/>
      <w:bookmarkEnd w:id="89"/>
      <w:bookmarkEnd w:id="90"/>
      <w:r>
        <w:rPr>
          <w:rFonts w:hint="eastAsia" w:ascii="宋体" w:hAnsi="宋体" w:eastAsia="宋体" w:cs="宋体"/>
          <w:b w:val="0"/>
          <w:bCs w:val="0"/>
          <w:color w:val="auto"/>
          <w:highlight w:val="none"/>
        </w:rPr>
        <w:t>（纸质投标文件）</w:t>
      </w:r>
    </w:p>
    <w:p>
      <w:pPr>
        <w:snapToGrid w:val="0"/>
        <w:spacing w:line="460" w:lineRule="exact"/>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18.1</w:t>
      </w:r>
      <w:r>
        <w:rPr>
          <w:rFonts w:hint="eastAsia" w:ascii="宋体" w:hAnsi="宋体" w:eastAsia="宋体" w:cs="宋体"/>
          <w:bCs/>
          <w:color w:val="auto"/>
          <w:sz w:val="28"/>
          <w:szCs w:val="28"/>
          <w:highlight w:val="none"/>
        </w:rPr>
        <w:t>投标人应将投标文件正本和所有副本密封，不论投标人中标与否，投标文件均不退回。</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18.2</w:t>
      </w:r>
      <w:r>
        <w:rPr>
          <w:rFonts w:hint="eastAsia" w:ascii="宋体" w:hAnsi="宋体" w:eastAsia="宋体" w:cs="宋体"/>
          <w:bCs/>
          <w:color w:val="auto"/>
          <w:sz w:val="28"/>
          <w:szCs w:val="28"/>
          <w:highlight w:val="none"/>
        </w:rPr>
        <w:t>密封的投标文件应：</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18.2.1 注明投标人名称，如因标注不清而产生的后果由投标人自负。按招标公告中注明的地址送达；</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18.2.2  注明投标项目名称、标书编号及标段号。</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18.2.3</w:t>
      </w:r>
      <w:r>
        <w:rPr>
          <w:rFonts w:hint="eastAsia" w:ascii="宋体" w:hAnsi="宋体" w:eastAsia="宋体" w:cs="宋体"/>
          <w:bCs/>
          <w:color w:val="auto"/>
          <w:sz w:val="28"/>
          <w:szCs w:val="28"/>
          <w:highlight w:val="none"/>
        </w:rPr>
        <w:t xml:space="preserve">  未按要求密封和加写标记，招标代理机构对误投或过早启封概不负责。对由此造成提前开封的投标文件，招标代理机构将予以拒绝，作无效投标处理。</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91" w:name="_Toc513029226"/>
      <w:bookmarkStart w:id="92" w:name="_Toc16938542"/>
      <w:bookmarkStart w:id="93" w:name="_Toc20823298"/>
      <w:r>
        <w:rPr>
          <w:rFonts w:hint="eastAsia" w:ascii="宋体" w:hAnsi="宋体" w:eastAsia="宋体" w:cs="宋体"/>
          <w:b w:val="0"/>
          <w:bCs w:val="0"/>
          <w:color w:val="auto"/>
          <w:highlight w:val="none"/>
        </w:rPr>
        <w:t>19、投标截止日期</w:t>
      </w:r>
      <w:bookmarkEnd w:id="91"/>
      <w:bookmarkEnd w:id="92"/>
      <w:bookmarkEnd w:id="93"/>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19.1</w:t>
      </w:r>
      <w:r>
        <w:rPr>
          <w:rFonts w:hint="eastAsia" w:ascii="宋体" w:hAnsi="宋体" w:eastAsia="宋体" w:cs="宋体"/>
          <w:bCs/>
          <w:color w:val="auto"/>
          <w:sz w:val="28"/>
          <w:szCs w:val="28"/>
          <w:highlight w:val="none"/>
        </w:rPr>
        <w:t xml:space="preserve"> 招标代理机构收到投标文件的时间不得迟于招标公告中规定的截止时间。</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19.2</w:t>
      </w:r>
      <w:r>
        <w:rPr>
          <w:rFonts w:hint="eastAsia" w:ascii="宋体" w:hAnsi="宋体" w:eastAsia="宋体" w:cs="宋体"/>
          <w:bCs/>
          <w:color w:val="auto"/>
          <w:sz w:val="28"/>
          <w:szCs w:val="28"/>
          <w:highlight w:val="none"/>
        </w:rPr>
        <w:t xml:space="preserve"> 招标代理机构可以按照规定，通过修改招标文件酌情延长投标截止日期，在此情况下，投标人的所有权利和义务以及投标人受制的截止日期均应以延长后新的截止日期为准。</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94" w:name="_Toc16938543"/>
      <w:bookmarkStart w:id="95" w:name="_Toc20823299"/>
      <w:bookmarkStart w:id="96" w:name="_Toc513029227"/>
      <w:r>
        <w:rPr>
          <w:rFonts w:hint="eastAsia" w:ascii="宋体" w:hAnsi="宋体" w:eastAsia="宋体" w:cs="宋体"/>
          <w:b w:val="0"/>
          <w:bCs w:val="0"/>
          <w:color w:val="auto"/>
          <w:highlight w:val="none"/>
        </w:rPr>
        <w:t>20、</w:t>
      </w:r>
      <w:bookmarkEnd w:id="94"/>
      <w:bookmarkEnd w:id="95"/>
      <w:bookmarkEnd w:id="96"/>
      <w:r>
        <w:rPr>
          <w:rFonts w:hint="eastAsia" w:ascii="宋体" w:hAnsi="宋体" w:eastAsia="宋体" w:cs="宋体"/>
          <w:color w:val="auto"/>
          <w:highlight w:val="none"/>
        </w:rPr>
        <w:t>投标文件的递交</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20.1</w:t>
      </w:r>
      <w:r>
        <w:rPr>
          <w:rFonts w:hint="eastAsia" w:ascii="宋体" w:hAnsi="宋体" w:eastAsia="宋体" w:cs="宋体"/>
          <w:bCs/>
          <w:color w:val="auto"/>
          <w:sz w:val="28"/>
          <w:szCs w:val="28"/>
          <w:highlight w:val="none"/>
        </w:rPr>
        <w:t xml:space="preserve"> 招标代理机构拒绝接收在其规定的投标截止时间后递交的任何投标文件。</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97" w:name="_Toc20823300"/>
      <w:bookmarkStart w:id="98" w:name="_Toc16938544"/>
      <w:bookmarkStart w:id="99" w:name="_Toc513029228"/>
      <w:r>
        <w:rPr>
          <w:rFonts w:hint="eastAsia" w:ascii="宋体" w:hAnsi="宋体" w:eastAsia="宋体" w:cs="宋体"/>
          <w:b w:val="0"/>
          <w:bCs w:val="0"/>
          <w:color w:val="auto"/>
          <w:highlight w:val="none"/>
        </w:rPr>
        <w:t>21、投标文件的修改和撤回</w:t>
      </w:r>
      <w:bookmarkEnd w:id="97"/>
      <w:bookmarkEnd w:id="98"/>
      <w:bookmarkEnd w:id="99"/>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21.1</w:t>
      </w:r>
      <w:r>
        <w:rPr>
          <w:rFonts w:hint="eastAsia" w:ascii="宋体" w:hAnsi="宋体" w:eastAsia="宋体" w:cs="宋体"/>
          <w:bCs/>
          <w:color w:val="auto"/>
          <w:sz w:val="28"/>
          <w:szCs w:val="28"/>
          <w:highlight w:val="none"/>
        </w:rPr>
        <w:t xml:space="preserve"> 投标人在递交投标文件后，可以修改或撤回其投标文件，但这种修改和撤回，必须在规定的投标截止时间前，以书面形式</w:t>
      </w:r>
      <w:r>
        <w:rPr>
          <w:rFonts w:hint="eastAsia" w:ascii="宋体" w:hAnsi="宋体" w:eastAsia="宋体" w:cs="宋体"/>
          <w:color w:val="auto"/>
          <w:sz w:val="28"/>
          <w:szCs w:val="28"/>
          <w:highlight w:val="none"/>
        </w:rPr>
        <w:t>通知招标代理机构，修改或撤回其投标文件。</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21.2</w:t>
      </w:r>
      <w:r>
        <w:rPr>
          <w:rFonts w:hint="eastAsia" w:ascii="宋体" w:hAnsi="宋体" w:eastAsia="宋体" w:cs="宋体"/>
          <w:bCs/>
          <w:color w:val="auto"/>
          <w:sz w:val="28"/>
          <w:szCs w:val="28"/>
          <w:highlight w:val="none"/>
        </w:rPr>
        <w:t xml:space="preserve"> 投标人的修改或撤回文件应按规定进行编制、密封、标记和发送，并应在封套上加注“修改”或“撤回”字样。</w:t>
      </w:r>
      <w:r>
        <w:rPr>
          <w:rFonts w:hint="eastAsia" w:ascii="宋体" w:hAnsi="宋体" w:eastAsia="宋体" w:cs="宋体"/>
          <w:color w:val="auto"/>
          <w:sz w:val="28"/>
          <w:szCs w:val="28"/>
          <w:highlight w:val="none"/>
        </w:rPr>
        <w:t>上述补充或修改若涉及投标报价，必须注明“最后唯一报价”字样，否则将视为有选择的报价。修改文件必须在投标截止时间前送达招标代理机构。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21.3</w:t>
      </w:r>
      <w:r>
        <w:rPr>
          <w:rFonts w:hint="eastAsia" w:ascii="宋体" w:hAnsi="宋体" w:eastAsia="宋体" w:cs="宋体"/>
          <w:bCs/>
          <w:color w:val="auto"/>
          <w:sz w:val="28"/>
          <w:szCs w:val="28"/>
          <w:highlight w:val="none"/>
        </w:rPr>
        <w:t xml:space="preserve"> 在投标截止时间之后，投标人不得对其投标文件作任何修改。</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21.4</w:t>
      </w:r>
      <w:r>
        <w:rPr>
          <w:rFonts w:hint="eastAsia" w:ascii="宋体" w:hAnsi="宋体" w:eastAsia="宋体" w:cs="宋体"/>
          <w:bCs/>
          <w:color w:val="auto"/>
          <w:sz w:val="28"/>
          <w:szCs w:val="28"/>
          <w:highlight w:val="none"/>
        </w:rPr>
        <w:t xml:space="preserve"> 在投标截止时间至招标文件中规定的投标有效期满之间的这段时间内，投标人不得撤回其投标。</w:t>
      </w:r>
    </w:p>
    <w:p>
      <w:pPr>
        <w:pStyle w:val="6"/>
        <w:spacing w:before="0" w:after="0" w:line="460" w:lineRule="exact"/>
        <w:ind w:firstLine="560" w:firstLineChars="200"/>
        <w:rPr>
          <w:rFonts w:hint="eastAsia" w:ascii="宋体" w:hAnsi="宋体" w:eastAsia="宋体" w:cs="宋体"/>
          <w:b w:val="0"/>
          <w:color w:val="auto"/>
          <w:sz w:val="28"/>
          <w:szCs w:val="28"/>
          <w:highlight w:val="none"/>
        </w:rPr>
      </w:pPr>
      <w:bookmarkStart w:id="100" w:name="_Toc20823301"/>
      <w:bookmarkStart w:id="101" w:name="_Toc513029229"/>
      <w:bookmarkStart w:id="102" w:name="_Toc120614218"/>
      <w:bookmarkStart w:id="103" w:name="_Toc16938545"/>
      <w:r>
        <w:rPr>
          <w:rFonts w:hint="eastAsia" w:ascii="宋体" w:hAnsi="宋体" w:eastAsia="宋体" w:cs="宋体"/>
          <w:b w:val="0"/>
          <w:color w:val="auto"/>
          <w:sz w:val="28"/>
          <w:szCs w:val="28"/>
          <w:highlight w:val="none"/>
        </w:rPr>
        <w:t>五、开标与评标</w:t>
      </w:r>
      <w:bookmarkEnd w:id="100"/>
      <w:bookmarkEnd w:id="101"/>
      <w:bookmarkEnd w:id="102"/>
      <w:bookmarkEnd w:id="103"/>
    </w:p>
    <w:p>
      <w:pPr>
        <w:pStyle w:val="7"/>
        <w:spacing w:before="0" w:after="0" w:line="460" w:lineRule="exact"/>
        <w:ind w:firstLine="560" w:firstLineChars="200"/>
        <w:rPr>
          <w:rFonts w:hint="eastAsia" w:ascii="宋体" w:hAnsi="宋体" w:eastAsia="宋体" w:cs="宋体"/>
          <w:b w:val="0"/>
          <w:bCs w:val="0"/>
          <w:color w:val="auto"/>
          <w:highlight w:val="none"/>
        </w:rPr>
      </w:pPr>
      <w:bookmarkStart w:id="104" w:name="_Toc513029230"/>
      <w:bookmarkStart w:id="105" w:name="_Toc16938546"/>
      <w:bookmarkStart w:id="106" w:name="_Toc20823302"/>
      <w:r>
        <w:rPr>
          <w:rFonts w:hint="eastAsia" w:ascii="宋体" w:hAnsi="宋体" w:eastAsia="宋体" w:cs="宋体"/>
          <w:b w:val="0"/>
          <w:bCs w:val="0"/>
          <w:color w:val="auto"/>
          <w:highlight w:val="none"/>
        </w:rPr>
        <w:t>22、开标</w:t>
      </w:r>
      <w:bookmarkEnd w:id="104"/>
      <w:bookmarkEnd w:id="105"/>
      <w:bookmarkEnd w:id="106"/>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w:t>
      </w:r>
      <w:r>
        <w:rPr>
          <w:rFonts w:hint="eastAsia" w:ascii="宋体" w:hAnsi="宋体" w:eastAsia="宋体" w:cs="宋体"/>
          <w:bCs/>
          <w:color w:val="auto"/>
          <w:sz w:val="28"/>
          <w:szCs w:val="28"/>
          <w:highlight w:val="none"/>
        </w:rPr>
        <w:t xml:space="preserve"> 招标代理机构将在招标公告中规定的时间和地点组织公开开标</w:t>
      </w:r>
      <w:r>
        <w:rPr>
          <w:rFonts w:hint="eastAsia" w:ascii="宋体" w:hAnsi="宋体" w:eastAsia="宋体" w:cs="宋体"/>
          <w:color w:val="auto"/>
          <w:sz w:val="28"/>
          <w:szCs w:val="28"/>
          <w:highlight w:val="none"/>
        </w:rPr>
        <w:t>。投标人应委派携带有效身份证件的授权代表准时参加，参加开标的授权代表需签名以证明其出席。</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22.2</w:t>
      </w:r>
      <w:r>
        <w:rPr>
          <w:rFonts w:hint="eastAsia" w:ascii="宋体" w:hAnsi="宋体" w:eastAsia="宋体" w:cs="宋体"/>
          <w:color w:val="auto"/>
          <w:sz w:val="28"/>
          <w:szCs w:val="28"/>
          <w:highlight w:val="none"/>
        </w:rPr>
        <w:t>开标仪式由招标代理机构组织，采购人代表、投标人授权代表、监管代表（必要时）等参加。</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22.3</w:t>
      </w:r>
      <w:r>
        <w:rPr>
          <w:rFonts w:hint="eastAsia" w:ascii="宋体" w:hAnsi="宋体" w:eastAsia="宋体" w:cs="宋体"/>
          <w:b/>
          <w:color w:val="auto"/>
          <w:sz w:val="28"/>
          <w:szCs w:val="28"/>
          <w:highlight w:val="none"/>
        </w:rPr>
        <w:t xml:space="preserve"> </w:t>
      </w:r>
      <w:r>
        <w:rPr>
          <w:rFonts w:hint="eastAsia" w:ascii="宋体" w:hAnsi="宋体" w:eastAsia="宋体" w:cs="宋体"/>
          <w:bCs/>
          <w:color w:val="auto"/>
          <w:sz w:val="28"/>
          <w:szCs w:val="28"/>
          <w:highlight w:val="none"/>
        </w:rPr>
        <w:t>按照规定同意撤回的投标将不予开封。</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22.4 开标时由投标人推选的代表查验投标文件密封情况，确认无误后，招标代理机构当众拆封宣读每份投标文件中“开标一览表”的内容，未列入开标一览表的内容一律不在开标时宣读。开标时未宣读的投标报价信息，不得在评标时采用。</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22.5 招标代理机构将指定专人负责开标记录并存档备查。</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 投标人在报价时不允许采用选择性报价，否则将被视为无效投标。</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107" w:name="_Toc16938547"/>
      <w:bookmarkStart w:id="108" w:name="_Toc20823303"/>
      <w:bookmarkStart w:id="109" w:name="_Toc513029231"/>
      <w:r>
        <w:rPr>
          <w:rFonts w:hint="eastAsia" w:ascii="宋体" w:hAnsi="宋体" w:eastAsia="宋体" w:cs="宋体"/>
          <w:b w:val="0"/>
          <w:bCs w:val="0"/>
          <w:color w:val="auto"/>
          <w:highlight w:val="none"/>
        </w:rPr>
        <w:t>23、评标委员会</w:t>
      </w:r>
    </w:p>
    <w:p>
      <w:pPr>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23.1</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开标后，招标代理机构将立即组织评标委员会（以下简称评委会）进行评标。</w:t>
      </w:r>
    </w:p>
    <w:p>
      <w:pPr>
        <w:spacing w:line="460" w:lineRule="exac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23.2 评委会由采购人代表和有关技术、经济等方面的专家组成，且人员构成符合采购有关规定。</w:t>
      </w:r>
    </w:p>
    <w:p>
      <w:pPr>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23.3评委会独立工作，负责评审所有投标文件并确定中标人或中标候选人。</w:t>
      </w:r>
    </w:p>
    <w:p>
      <w:pPr>
        <w:pStyle w:val="7"/>
        <w:spacing w:before="0" w:after="0" w:line="460" w:lineRule="exact"/>
        <w:ind w:firstLine="56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24．评标过程的保密与公正</w:t>
      </w:r>
    </w:p>
    <w:bookmarkEnd w:id="107"/>
    <w:bookmarkEnd w:id="108"/>
    <w:bookmarkEnd w:id="109"/>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24.1</w:t>
      </w:r>
      <w:r>
        <w:rPr>
          <w:rFonts w:hint="eastAsia" w:ascii="宋体" w:hAnsi="宋体" w:eastAsia="宋体" w:cs="宋体"/>
          <w:bCs/>
          <w:color w:val="auto"/>
          <w:sz w:val="28"/>
          <w:szCs w:val="28"/>
          <w:highlight w:val="none"/>
        </w:rPr>
        <w:t>公开开标后，直至向中标的投标人授予合同时止，凡是与审查、澄清、评价和比较投标的有关资料以及授标建议等，采购人、评委、招标代理机构均不得向投标人或与评标无关的其他人员透露。</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24.2在评标过程中，投标人不得以任何行为影响评标过程，否则其投标文件将被作为无效投标文件。</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24.3在评标期间，招标代理机构将设专门人员与投标人联系。</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24.4招标人、采购人代表将于开标地点现场宣布评标结果。招标代理机构和评标委员会不向未中标的投标人解释未中标原因，也不公布评标过程中的相关细节。</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24.5 采用综合评分法的项目，未中标的投标人如需了解自己的评审得分及排序情况，可于中标结果公告期限届满之日起7个工作日内，由其法定代表人或授权代表携带本人有效身份证件到采购代理机构登记查询，逾期将不予受理。</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110" w:name="_Toc16938548"/>
      <w:bookmarkStart w:id="111" w:name="_Toc513029232"/>
      <w:bookmarkStart w:id="112" w:name="_Toc20823304"/>
      <w:r>
        <w:rPr>
          <w:rFonts w:hint="eastAsia" w:ascii="宋体" w:hAnsi="宋体" w:eastAsia="宋体" w:cs="宋体"/>
          <w:b w:val="0"/>
          <w:bCs w:val="0"/>
          <w:color w:val="auto"/>
          <w:highlight w:val="none"/>
        </w:rPr>
        <w:t>25．投标的澄清</w:t>
      </w:r>
      <w:bookmarkEnd w:id="110"/>
      <w:bookmarkEnd w:id="111"/>
      <w:bookmarkEnd w:id="112"/>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25.1评标期间，为有助于对投标文件的审查、评价和比较，评委会有权以书面形式要求投标人对其投标文件进行澄清，但并非对每个投标人都作澄清要求。</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 接到评委会澄清要求的投标人如未按规定做出澄清，其风险由投标人自行承担。</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113" w:name="_Toc513029233"/>
      <w:bookmarkStart w:id="114" w:name="_Toc16938549"/>
      <w:bookmarkStart w:id="115" w:name="_Toc20823305"/>
      <w:r>
        <w:rPr>
          <w:rFonts w:hint="eastAsia" w:ascii="宋体" w:hAnsi="宋体" w:eastAsia="宋体" w:cs="宋体"/>
          <w:b w:val="0"/>
          <w:bCs w:val="0"/>
          <w:color w:val="auto"/>
          <w:highlight w:val="none"/>
        </w:rPr>
        <w:t>26、对投标文件的初审</w:t>
      </w:r>
      <w:bookmarkEnd w:id="113"/>
      <w:bookmarkEnd w:id="114"/>
      <w:bookmarkEnd w:id="115"/>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26.1</w:t>
      </w:r>
      <w:r>
        <w:rPr>
          <w:rFonts w:hint="eastAsia" w:ascii="宋体" w:hAnsi="宋体" w:eastAsia="宋体" w:cs="宋体"/>
          <w:bCs/>
          <w:color w:val="auto"/>
          <w:sz w:val="28"/>
          <w:szCs w:val="28"/>
          <w:highlight w:val="none"/>
        </w:rPr>
        <w:t>投标文件初审分为资格审查和符合性审查。</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26.1.1 资格审查：依据法律法规和招标文件的规定，由采购人对投标文件中的资格证明文件进行审查。资格审查的结论，采购人以书面形式向评委会进行反馈。</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26.1.2 符合性审查：依据招标文件的规定，由评委会从投标文件的有效性、完整性和对招标文件的响应程度进行审查，以确定是否对招标文件的实质性要求作出响应。</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26.1.3 未通过资格审查或符合性审查的投标人，采购代理机构将在评标现场向其授权代表告知未通过资格审查或符合性审查的原因，评审结束后，采购代理机构将不再告知未通过资格审查或符合性审查的原因。</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所谓重大偏离或保留是指与招标文件规定的实质性要求存在负偏离，或者在实质上与招标文件不一致，而且限制了合同中买方的权利或投标人的义务，纠正这些偏离或保留将会对其他实质性响应要求的投标人的竞争地位产生不公正的影响。重大偏离的认定需经过评委会三分二及以上成员的认定。</w:t>
      </w:r>
      <w:r>
        <w:rPr>
          <w:rFonts w:hint="eastAsia" w:ascii="宋体" w:hAnsi="宋体" w:eastAsia="宋体" w:cs="宋体"/>
          <w:bCs/>
          <w:color w:val="auto"/>
          <w:sz w:val="28"/>
          <w:szCs w:val="28"/>
          <w:highlight w:val="none"/>
        </w:rPr>
        <w:t>评委决定投标文件的响应性只根据投标文件本身的内容，而不寻求外部的证据。</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26.3</w:t>
      </w:r>
      <w:r>
        <w:rPr>
          <w:rFonts w:hint="eastAsia" w:ascii="宋体" w:hAnsi="宋体" w:eastAsia="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26.4</w:t>
      </w:r>
      <w:r>
        <w:rPr>
          <w:rFonts w:hint="eastAsia" w:ascii="宋体" w:hAnsi="宋体" w:eastAsia="宋体" w:cs="宋体"/>
          <w:bCs/>
          <w:color w:val="auto"/>
          <w:sz w:val="28"/>
          <w:szCs w:val="28"/>
          <w:highlight w:val="none"/>
        </w:rPr>
        <w:t>评委会将对确定为实质性响应的投标进行进一步审核，看其是否有计算上或累加上的算术错误，修正错误的原则如下：</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（1）投标文件中开标一览表内容与投标文件中相应内容不一致的，以开标一览表为准。</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（2）大写金额和小写金额不一致的，以大写金额为准。</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（3）单价金额小数点或者百分比有明显错位的，以开标一览表的总价为准，并修改单价。</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同时出现两种以上错误的，按照前款规定的顺序修正。</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26.5</w:t>
      </w:r>
      <w:r>
        <w:rPr>
          <w:rFonts w:hint="eastAsia" w:ascii="宋体" w:hAnsi="宋体" w:eastAsia="宋体" w:cs="宋体"/>
          <w:bCs/>
          <w:color w:val="auto"/>
          <w:sz w:val="28"/>
          <w:szCs w:val="28"/>
          <w:highlight w:val="none"/>
        </w:rPr>
        <w:t>评委会将按上述修正错误的方法修正投标文件中的投标报价，修正后的价格经投标人确认后具有约束力。如果投标人不确认的，则其投标将被拒绝，其投标保证金不予退还。</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26.6</w:t>
      </w:r>
      <w:r>
        <w:rPr>
          <w:rFonts w:hint="eastAsia" w:ascii="宋体" w:hAnsi="宋体" w:eastAsia="宋体" w:cs="宋体"/>
          <w:bCs/>
          <w:color w:val="auto"/>
          <w:sz w:val="28"/>
          <w:szCs w:val="28"/>
          <w:highlight w:val="none"/>
        </w:rPr>
        <w:t xml:space="preserve"> 评委会将允许修正投标文件中不构成重大偏离的、微小的、非正规的、不一致的或不规则的地方，但这些修改不能影响任何投标人相应的名次排列。</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26.7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非单一产品采购项目，招标文件中将载明其中的核心产品。多家投标人提供的核心产品品牌相同的，按前两款规定处理。</w:t>
      </w:r>
    </w:p>
    <w:p>
      <w:pPr>
        <w:pStyle w:val="7"/>
        <w:spacing w:before="0" w:after="0" w:line="460" w:lineRule="exact"/>
        <w:ind w:firstLine="560" w:firstLineChars="200"/>
        <w:rPr>
          <w:rFonts w:hint="eastAsia" w:ascii="宋体" w:hAnsi="宋体" w:eastAsia="宋体" w:cs="宋体"/>
          <w:b w:val="0"/>
          <w:bCs w:val="0"/>
          <w:color w:val="auto"/>
          <w:highlight w:val="none"/>
        </w:rPr>
      </w:pPr>
      <w:bookmarkStart w:id="116" w:name="_Toc20823306"/>
      <w:bookmarkStart w:id="117" w:name="_Toc513029234"/>
      <w:bookmarkStart w:id="118" w:name="_Toc16938550"/>
      <w:r>
        <w:rPr>
          <w:rFonts w:hint="eastAsia" w:ascii="宋体" w:hAnsi="宋体" w:eastAsia="宋体" w:cs="宋体"/>
          <w:b w:val="0"/>
          <w:bCs w:val="0"/>
          <w:color w:val="auto"/>
          <w:highlight w:val="none"/>
        </w:rPr>
        <w:t>27、</w:t>
      </w:r>
      <w:bookmarkEnd w:id="116"/>
      <w:bookmarkEnd w:id="117"/>
      <w:bookmarkEnd w:id="118"/>
      <w:r>
        <w:rPr>
          <w:rFonts w:hint="eastAsia" w:ascii="宋体" w:hAnsi="宋体" w:eastAsia="宋体" w:cs="宋体"/>
          <w:b w:val="0"/>
          <w:bCs w:val="0"/>
          <w:color w:val="auto"/>
          <w:highlight w:val="none"/>
        </w:rPr>
        <w:t>无效投标条款</w:t>
      </w:r>
    </w:p>
    <w:p>
      <w:pPr>
        <w:spacing w:line="460" w:lineRule="exact"/>
        <w:ind w:firstLine="560" w:firstLineChars="200"/>
        <w:rPr>
          <w:rFonts w:hint="eastAsia" w:ascii="宋体" w:hAnsi="宋体" w:eastAsia="宋体" w:cs="宋体"/>
          <w:bCs/>
          <w:color w:val="auto"/>
          <w:sz w:val="28"/>
          <w:szCs w:val="28"/>
          <w:highlight w:val="none"/>
        </w:rPr>
      </w:pPr>
      <w:bookmarkStart w:id="119" w:name="_Toc16938551"/>
      <w:bookmarkStart w:id="120" w:name="_Toc513029235"/>
      <w:bookmarkStart w:id="121" w:name="_Toc20823307"/>
      <w:r>
        <w:rPr>
          <w:rFonts w:hint="eastAsia" w:ascii="宋体" w:hAnsi="宋体" w:eastAsia="宋体" w:cs="宋体"/>
          <w:bCs/>
          <w:color w:val="auto"/>
          <w:sz w:val="28"/>
          <w:szCs w:val="28"/>
          <w:highlight w:val="none"/>
        </w:rPr>
        <w:t>27.1未按照招标文件规定要求密封、签署、盖章的。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27.2标人在报价时采用选择性报价的。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27.3投标人不具备招标文件中规定资格要求的。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27.4投标人的报价超过了采购预算或最高限价的。</w:t>
      </w:r>
    </w:p>
    <w:p>
      <w:pPr>
        <w:spacing w:line="460" w:lineRule="exact"/>
        <w:ind w:firstLine="560" w:firstLineChars="200"/>
        <w:rPr>
          <w:rFonts w:hint="eastAsia" w:ascii="宋体" w:hAnsi="宋体" w:eastAsia="宋体" w:cs="宋体"/>
          <w:bCs/>
          <w:i/>
          <w:color w:val="auto"/>
          <w:sz w:val="28"/>
          <w:szCs w:val="28"/>
          <w:highlight w:val="none"/>
          <w:u w:val="single"/>
        </w:rPr>
      </w:pPr>
      <w:r>
        <w:rPr>
          <w:rFonts w:hint="eastAsia" w:ascii="宋体" w:hAnsi="宋体" w:eastAsia="宋体" w:cs="宋体"/>
          <w:bCs/>
          <w:color w:val="auto"/>
          <w:sz w:val="28"/>
          <w:szCs w:val="28"/>
          <w:highlight w:val="none"/>
        </w:rPr>
        <w:t>27.5未通过符合性检查的。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27.6不符合招标文件中规定的其他实质性要求和条件的。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27.7投标文件含有采购人不能接受的附加条件的。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27.9其他法律、法规及本招标文件规定的属无效投标的情形。</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28、废标条款：                                                                                                                                                                                                                                                                                                                                                                                                                                                                                                                                                                                                                                                                                                                                                                                                                                                                                                                                                                                                                                                                                                                                                                                                                                                                                                                                                                                                                                                                         </w:t>
      </w:r>
    </w:p>
    <w:p>
      <w:pPr>
        <w:spacing w:line="460" w:lineRule="exact"/>
        <w:ind w:firstLine="536" w:firstLineChars="200"/>
        <w:rPr>
          <w:rFonts w:hint="eastAsia" w:ascii="宋体" w:hAnsi="宋体" w:eastAsia="宋体" w:cs="宋体"/>
          <w:bCs/>
          <w:color w:val="auto"/>
          <w:spacing w:val="-6"/>
          <w:sz w:val="28"/>
          <w:szCs w:val="28"/>
          <w:highlight w:val="none"/>
        </w:rPr>
      </w:pPr>
      <w:r>
        <w:rPr>
          <w:rFonts w:hint="eastAsia" w:ascii="宋体" w:hAnsi="宋体" w:eastAsia="宋体" w:cs="宋体"/>
          <w:bCs/>
          <w:color w:val="auto"/>
          <w:spacing w:val="-6"/>
          <w:sz w:val="28"/>
          <w:szCs w:val="28"/>
          <w:highlight w:val="none"/>
        </w:rPr>
        <w:t>28.1符合专业条件的供应商或者对招标文件作实质响应的供应商不足三家的。</w:t>
      </w:r>
    </w:p>
    <w:p>
      <w:pPr>
        <w:spacing w:line="460" w:lineRule="exact"/>
        <w:ind w:firstLine="536" w:firstLineChars="200"/>
        <w:rPr>
          <w:rFonts w:hint="eastAsia" w:ascii="宋体" w:hAnsi="宋体" w:eastAsia="宋体" w:cs="宋体"/>
          <w:bCs/>
          <w:color w:val="auto"/>
          <w:spacing w:val="-6"/>
          <w:sz w:val="28"/>
          <w:szCs w:val="28"/>
          <w:highlight w:val="none"/>
        </w:rPr>
      </w:pPr>
      <w:r>
        <w:rPr>
          <w:rFonts w:hint="eastAsia" w:ascii="宋体" w:hAnsi="宋体" w:eastAsia="宋体" w:cs="宋体"/>
          <w:bCs/>
          <w:color w:val="auto"/>
          <w:spacing w:val="-6"/>
          <w:sz w:val="28"/>
          <w:szCs w:val="28"/>
          <w:highlight w:val="none"/>
        </w:rPr>
        <w:t>28.2出现影响采购公正的违法、违规行为的。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28.3因重大变故，采购任务取消的。</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28.4评标委员会认定招标文件存在歧义、重大缺陷导致评审工作无法进行。</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28.5投标截止时间结束后参加投标的供应商不足三家的处理：</w:t>
      </w:r>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28.6如出现投标截止时间结束后参加投标的供应商或者在评标期间对招标文件做出实质响应的供应商不足三家情况，按采购相关规定执行。</w:t>
      </w:r>
      <w:bookmarkStart w:id="122" w:name="_Toc120614219"/>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六、</w:t>
      </w:r>
      <w:bookmarkEnd w:id="119"/>
      <w:bookmarkEnd w:id="120"/>
      <w:bookmarkEnd w:id="121"/>
      <w:r>
        <w:rPr>
          <w:rFonts w:hint="eastAsia" w:ascii="宋体" w:hAnsi="宋体" w:eastAsia="宋体" w:cs="宋体"/>
          <w:bCs/>
          <w:color w:val="auto"/>
          <w:sz w:val="28"/>
          <w:szCs w:val="28"/>
          <w:highlight w:val="none"/>
        </w:rPr>
        <w:t>定标</w:t>
      </w:r>
      <w:bookmarkEnd w:id="122"/>
      <w:bookmarkStart w:id="123" w:name="_Toc513029238"/>
      <w:bookmarkStart w:id="124" w:name="_Toc20823310"/>
      <w:bookmarkStart w:id="125" w:name="_Toc16938554"/>
    </w:p>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29、</w:t>
      </w:r>
      <w:bookmarkEnd w:id="123"/>
      <w:r>
        <w:rPr>
          <w:rFonts w:hint="eastAsia" w:ascii="宋体" w:hAnsi="宋体" w:eastAsia="宋体" w:cs="宋体"/>
          <w:bCs/>
          <w:color w:val="auto"/>
          <w:sz w:val="28"/>
          <w:szCs w:val="28"/>
          <w:highlight w:val="none"/>
        </w:rPr>
        <w:t>确定</w:t>
      </w:r>
      <w:bookmarkEnd w:id="124"/>
      <w:bookmarkEnd w:id="125"/>
      <w:r>
        <w:rPr>
          <w:rFonts w:hint="eastAsia" w:ascii="宋体" w:hAnsi="宋体" w:eastAsia="宋体" w:cs="宋体"/>
          <w:bCs/>
          <w:color w:val="auto"/>
          <w:sz w:val="28"/>
          <w:szCs w:val="28"/>
          <w:highlight w:val="none"/>
        </w:rPr>
        <w:t>中标单位</w:t>
      </w:r>
    </w:p>
    <w:p>
      <w:pPr>
        <w:spacing w:line="4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29.1评委会根据本招标文件规定评分办法与评分标准向采购人推荐出</w:t>
      </w:r>
      <w:r>
        <w:rPr>
          <w:rFonts w:hint="eastAsia" w:ascii="宋体" w:hAnsi="宋体" w:eastAsia="宋体" w:cs="宋体"/>
          <w:bCs/>
          <w:color w:val="auto"/>
          <w:sz w:val="28"/>
          <w:szCs w:val="28"/>
          <w:highlight w:val="none"/>
          <w:u w:val="single"/>
        </w:rPr>
        <w:t>1</w:t>
      </w:r>
      <w:r>
        <w:rPr>
          <w:rFonts w:hint="eastAsia" w:ascii="宋体" w:hAnsi="宋体" w:eastAsia="宋体" w:cs="宋体"/>
          <w:bCs/>
          <w:color w:val="auto"/>
          <w:sz w:val="28"/>
          <w:szCs w:val="28"/>
          <w:highlight w:val="none"/>
        </w:rPr>
        <w:t>名中标候选人，或者直接评出中标人。</w:t>
      </w:r>
    </w:p>
    <w:p>
      <w:pPr>
        <w:spacing w:line="4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29.2如评委会推荐的是中标候选人，采购人应根据规定从中确定中标人。</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29.3</w:t>
      </w:r>
      <w:r>
        <w:rPr>
          <w:rFonts w:hint="eastAsia" w:ascii="宋体" w:hAnsi="宋体" w:eastAsia="宋体" w:cs="宋体"/>
          <w:color w:val="auto"/>
          <w:sz w:val="28"/>
          <w:szCs w:val="28"/>
          <w:highlight w:val="none"/>
        </w:rPr>
        <w:t>招标代理机构将在南通市民政局网站等指定媒体发布中标公告，公告期限为1个工作日。</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w:t>
      </w:r>
      <w:bookmarkStart w:id="126" w:name="_Toc200451960"/>
      <w:r>
        <w:rPr>
          <w:rFonts w:hint="eastAsia" w:ascii="宋体" w:hAnsi="宋体" w:eastAsia="宋体" w:cs="宋体"/>
          <w:color w:val="auto"/>
          <w:sz w:val="28"/>
          <w:szCs w:val="28"/>
          <w:highlight w:val="none"/>
        </w:rPr>
        <w:t xml:space="preserve"> 若有充分证据证明，中标人出现下列情况之一的，一经查实，将被取消中标资格：</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29.4.1提供虚假材料谋取中标的。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29.4.2向采购人、采购代理机构行贿或者提供其他不正当利益的。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29.4.3恶意竞争，投标总报价明显低于其自身合理成本且又无法提供证明的。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29.4.4属于本文件规定的无效条件，但在评标过程中又未被评委会发现的。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29.4.5与采购人或者其他供应商恶意串通的。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29.4.6采取不正当手段诋毁、排挤其他供应商的。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29.5. </w:t>
      </w:r>
      <w:r>
        <w:rPr>
          <w:rFonts w:hint="eastAsia" w:ascii="宋体" w:hAnsi="宋体" w:eastAsia="宋体" w:cs="宋体"/>
          <w:color w:val="auto"/>
          <w:kern w:val="0"/>
          <w:sz w:val="28"/>
          <w:szCs w:val="28"/>
          <w:highlight w:val="none"/>
        </w:rPr>
        <w:t>有下列情形之一的，视为投标人串通投标，投标无效：</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29.5.1不同投标人的投标文件由同一单位或者个人编制。</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29.5.2不同投标人委托同一单位或者个人办理投标事宜。</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29.5.3 不同投标人的投标文件载明的项目管理成员或者联系人员为同一人。</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29.5.4不同投标人的投标文件异常一致或者投标报价呈规律性差异。</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29.5.5不同投标人的投标文件相互混装。</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29.5.6不同投标人的投标保证金从同一单位或者个人的账户转出。</w:t>
      </w:r>
    </w:p>
    <w:p>
      <w:pPr>
        <w:pStyle w:val="7"/>
        <w:spacing w:before="0" w:after="0" w:line="460" w:lineRule="exact"/>
        <w:ind w:firstLine="56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30、质疑处理</w:t>
      </w:r>
      <w:bookmarkEnd w:id="126"/>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 提出质疑的供应商应当是参与所质疑项目采购活动的供应商。潜在供应商依法获取其可质疑的采购文件的，可以对采购文件提出质疑。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30.2供应商认为采购文件、采购过程和采购结果使自己的权益受到损害的，可以在知道或应知其权益受到损害之日起七个工作日内，以书面形式向招标代理机构或采购人提出质疑。上述应知其权益受到损害之日，是指：</w:t>
      </w:r>
    </w:p>
    <w:p>
      <w:pPr>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sz w:val="28"/>
          <w:szCs w:val="28"/>
          <w:highlight w:val="none"/>
        </w:rPr>
        <w:t>30.2.1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30.2.2</w:t>
      </w:r>
      <w:r>
        <w:rPr>
          <w:rFonts w:hint="eastAsia" w:ascii="宋体" w:hAnsi="宋体" w:eastAsia="宋体" w:cs="宋体"/>
          <w:color w:val="auto"/>
          <w:kern w:val="0"/>
          <w:sz w:val="28"/>
          <w:szCs w:val="28"/>
          <w:highlight w:val="none"/>
        </w:rPr>
        <w:t>对采购过程提出质疑的，为各采购程序环节结束之日；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30.2.3</w:t>
      </w:r>
      <w:r>
        <w:rPr>
          <w:rFonts w:hint="eastAsia" w:ascii="宋体" w:hAnsi="宋体" w:eastAsia="宋体" w:cs="宋体"/>
          <w:color w:val="auto"/>
          <w:kern w:val="0"/>
          <w:sz w:val="28"/>
          <w:szCs w:val="28"/>
          <w:highlight w:val="none"/>
        </w:rPr>
        <w:t>对中标或者成交结果提出质疑的，为中标或者成交结果公告期限届满之日。</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供应商应当在法定质疑期内一次性提出针对同一采购程序环节的质疑。供应商如在法定期限内对同一采购程序环节提出多次质疑的，采购中心将只对供应商第一次质疑作出答复。</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30.4 对项目需求部分质疑（包括询问）请向采购人提出，由采购人负责答复。联系地址、联系电话见公告。</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对其余方面质疑可向招标代理机构提出。招标代理机构只接收以纸质原件形式送达的质疑。招标代理机构质疑接收联系地址：</w:t>
      </w:r>
      <w:r>
        <w:rPr>
          <w:rFonts w:hint="eastAsia" w:ascii="宋体" w:hAnsi="宋体" w:eastAsia="宋体" w:cs="宋体"/>
          <w:b/>
          <w:bCs/>
          <w:color w:val="auto"/>
          <w:sz w:val="28"/>
          <w:szCs w:val="28"/>
          <w:highlight w:val="none"/>
          <w:u w:val="single"/>
          <w:lang w:val="zh-CN"/>
        </w:rPr>
        <w:t>崇川区崇川路58号，南通产业技术研究院有限公司九号楼十楼</w:t>
      </w:r>
      <w:r>
        <w:rPr>
          <w:rFonts w:hint="eastAsia" w:ascii="宋体" w:hAnsi="宋体" w:eastAsia="宋体" w:cs="宋体"/>
          <w:color w:val="auto"/>
          <w:sz w:val="28"/>
          <w:szCs w:val="28"/>
          <w:highlight w:val="none"/>
        </w:rPr>
        <w:t>（江苏中润工程建设咨询有限公司），联系电话：0513-</w:t>
      </w:r>
      <w:r>
        <w:rPr>
          <w:rFonts w:hint="eastAsia" w:ascii="宋体" w:hAnsi="宋体" w:eastAsia="宋体" w:cs="宋体"/>
          <w:color w:val="auto"/>
          <w:sz w:val="28"/>
          <w:szCs w:val="28"/>
          <w:highlight w:val="none"/>
          <w:lang w:val="en-US" w:eastAsia="zh-CN"/>
        </w:rPr>
        <w:t>55887688</w:t>
      </w:r>
      <w:r>
        <w:rPr>
          <w:rFonts w:hint="eastAsia" w:ascii="宋体" w:hAnsi="宋体" w:eastAsia="宋体" w:cs="宋体"/>
          <w:color w:val="auto"/>
          <w:sz w:val="28"/>
          <w:szCs w:val="28"/>
          <w:highlight w:val="none"/>
        </w:rPr>
        <w:t>。</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 以下情形的质疑不予受理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30.5.1 内容不符合《政府采购质疑和投诉办法》第十二条规定的质疑。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30.5.2 超出采购法定期限的质疑。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30.5.3 以传真、电子邮件等方式递交的非原件形式的质疑。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30.5.4 未参加投标活动的供应商或在投标活动中自身权益未受到损害的供应商所提出的质疑。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30.5.5供应商组成联合体参加投标，联合体中任何一方或多方未按要求签字、盖章、加盖公章的质疑。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30.6  供应商提出书面质疑必须有理、有据，不得捏造事实、提供虚假材料进行恶意质疑。否则，一经查实，采购人有权依据采购的有关规定，报请采购监管部门对该供应商进行相应的行政处罚和记录该供应商的失信信息。</w:t>
      </w:r>
    </w:p>
    <w:p>
      <w:pPr>
        <w:pStyle w:val="7"/>
        <w:spacing w:before="0" w:after="0" w:line="460" w:lineRule="exact"/>
        <w:ind w:firstLine="56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31、中标通知书</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31.l</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中标结果确定后，招标代理机构将向中标供应商、采购人发出中标通知书。</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31.2 中标供应商法定代表人或授权代表（投标文件中所确定的）须到招标代理机构现场签收中标通知书。若不到招标代理机构现场签收中标通知书，则公告后视同中标人已经知悉并同意接受。</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31.3中标通知书将是合同的一个组成部分。对采购人和中标供应商均具有法律效力。中标通知书发出后，采购人改变中标结果的，或者中标供应商放弃中标项目的，应当依法承担法律责任。</w:t>
      </w:r>
    </w:p>
    <w:p>
      <w:pPr>
        <w:pStyle w:val="6"/>
        <w:spacing w:before="0" w:after="0" w:line="460" w:lineRule="exact"/>
        <w:ind w:firstLine="560" w:firstLineChars="200"/>
        <w:rPr>
          <w:rFonts w:hint="eastAsia" w:ascii="宋体" w:hAnsi="宋体" w:eastAsia="宋体" w:cs="宋体"/>
          <w:b w:val="0"/>
          <w:color w:val="auto"/>
          <w:sz w:val="28"/>
          <w:szCs w:val="28"/>
          <w:highlight w:val="none"/>
        </w:rPr>
      </w:pPr>
      <w:bookmarkStart w:id="127" w:name="_Toc120614220"/>
      <w:bookmarkStart w:id="128" w:name="_Toc20823308"/>
      <w:bookmarkStart w:id="129" w:name="_Toc16938552"/>
      <w:bookmarkStart w:id="130" w:name="_Toc513029236"/>
      <w:r>
        <w:rPr>
          <w:rFonts w:hint="eastAsia" w:ascii="宋体" w:hAnsi="宋体" w:eastAsia="宋体" w:cs="宋体"/>
          <w:b w:val="0"/>
          <w:color w:val="auto"/>
          <w:sz w:val="28"/>
          <w:szCs w:val="28"/>
          <w:highlight w:val="none"/>
        </w:rPr>
        <w:t>七、</w:t>
      </w:r>
      <w:bookmarkEnd w:id="127"/>
      <w:r>
        <w:rPr>
          <w:rFonts w:hint="eastAsia" w:ascii="宋体" w:hAnsi="宋体" w:eastAsia="宋体" w:cs="宋体"/>
          <w:b w:val="0"/>
          <w:color w:val="auto"/>
          <w:sz w:val="28"/>
          <w:szCs w:val="28"/>
          <w:highlight w:val="none"/>
        </w:rPr>
        <w:t>授予合同</w:t>
      </w:r>
    </w:p>
    <w:bookmarkEnd w:id="128"/>
    <w:bookmarkEnd w:id="129"/>
    <w:bookmarkEnd w:id="130"/>
    <w:p>
      <w:pPr>
        <w:pStyle w:val="7"/>
        <w:spacing w:before="0" w:after="0" w:line="460" w:lineRule="exact"/>
        <w:ind w:firstLine="560" w:firstLineChars="200"/>
        <w:rPr>
          <w:rFonts w:hint="eastAsia" w:ascii="宋体" w:hAnsi="宋体" w:eastAsia="宋体" w:cs="宋体"/>
          <w:b w:val="0"/>
          <w:color w:val="auto"/>
          <w:highlight w:val="none"/>
        </w:rPr>
      </w:pPr>
      <w:bookmarkStart w:id="131" w:name="_Toc20823309"/>
      <w:bookmarkStart w:id="132" w:name="_Toc513029237"/>
      <w:bookmarkStart w:id="133" w:name="_Toc16938553"/>
      <w:r>
        <w:rPr>
          <w:rFonts w:hint="eastAsia" w:ascii="宋体" w:hAnsi="宋体" w:eastAsia="宋体" w:cs="宋体"/>
          <w:b w:val="0"/>
          <w:color w:val="auto"/>
          <w:highlight w:val="none"/>
        </w:rPr>
        <w:t>32. 签订合同</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32</w:t>
      </w:r>
      <w:r>
        <w:rPr>
          <w:rFonts w:hint="eastAsia" w:ascii="宋体" w:hAnsi="宋体" w:eastAsia="宋体" w:cs="宋体"/>
          <w:color w:val="auto"/>
          <w:sz w:val="28"/>
          <w:szCs w:val="28"/>
          <w:highlight w:val="none"/>
        </w:rPr>
        <w:t xml:space="preserve">.l中标人应按中标通知书规定的时间、地点,按照招标文件确定的事项与采购人签订采购合同，且不得迟于中标通知书发出之日起15日内。 </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招标文件、中标人的投标文件及招标过程中有关澄清、承诺文件均应作为合同附件。</w:t>
      </w:r>
    </w:p>
    <w:p>
      <w:pPr>
        <w:snapToGrid w:val="0"/>
        <w:spacing w:line="460" w:lineRule="exact"/>
        <w:ind w:firstLine="544"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32.3 签订合同后，</w:t>
      </w:r>
      <w:r>
        <w:rPr>
          <w:rFonts w:hint="eastAsia" w:ascii="宋体" w:hAnsi="宋体" w:eastAsia="宋体" w:cs="宋体"/>
          <w:i/>
          <w:color w:val="auto"/>
          <w:spacing w:val="-4"/>
          <w:sz w:val="28"/>
          <w:szCs w:val="28"/>
          <w:highlight w:val="none"/>
          <w:u w:val="single"/>
        </w:rPr>
        <w:t>中标人不得将货物、服务及其他相关服务进行转包</w:t>
      </w:r>
      <w:r>
        <w:rPr>
          <w:rFonts w:hint="eastAsia" w:ascii="宋体" w:hAnsi="宋体" w:eastAsia="宋体" w:cs="宋体"/>
          <w:color w:val="auto"/>
          <w:spacing w:val="-4"/>
          <w:sz w:val="28"/>
          <w:szCs w:val="28"/>
          <w:highlight w:val="none"/>
        </w:rPr>
        <w:t>。未经采购人同意，中标人也不得采用分包的形式履行合同，转包或分包造成采购人损失的，中标人应承担相应赔偿责任。</w:t>
      </w:r>
    </w:p>
    <w:p>
      <w:pPr>
        <w:pStyle w:val="7"/>
        <w:spacing w:before="0" w:after="0" w:line="460" w:lineRule="exact"/>
        <w:ind w:firstLine="56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33、货物和服务的追加、减少和添购。</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采购合同履行中，采购人需追加与合同标的相同的货物和服务的，在不改变合同其他条款的前提下，报主管预算单位同意后，可以与中标人协商签订补充合同，但所有补充合同的采购金额不超过原合同金额10%。</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采购结束后，采购人若由于各种客观原因，必须对采购项目所牵涉的货物、和服务进行适当的减少时，报主管预算单位同意后，在双方协商一致的前提下，可以按照招标采购时的价格水平做相应的调减，并据此签订补充合同。</w:t>
      </w:r>
    </w:p>
    <w:p>
      <w:pPr>
        <w:pStyle w:val="7"/>
        <w:spacing w:before="0" w:after="0" w:line="460" w:lineRule="exact"/>
        <w:ind w:firstLine="56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34、履约保证金</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34.1</w:t>
      </w:r>
      <w:r>
        <w:rPr>
          <w:rFonts w:hint="eastAsia" w:ascii="宋体" w:hAnsi="宋体" w:eastAsia="宋体" w:cs="宋体"/>
          <w:bCs/>
          <w:color w:val="auto"/>
          <w:sz w:val="28"/>
          <w:szCs w:val="28"/>
          <w:highlight w:val="none"/>
        </w:rPr>
        <w:t>中标人在收到中标通知书后，中标人提交履约保证金，履约保证金</w:t>
      </w:r>
      <w:r>
        <w:rPr>
          <w:rFonts w:hint="eastAsia" w:ascii="宋体" w:hAnsi="宋体" w:eastAsia="宋体" w:cs="宋体"/>
          <w:color w:val="auto"/>
          <w:sz w:val="28"/>
          <w:szCs w:val="28"/>
          <w:highlight w:val="none"/>
        </w:rPr>
        <w:t>用以约束供应商在合同履行中的行为，弥补合同执行中由于自身行为可能给采购人带来的各种损失。如果中标人不同意按照规定去做，采购人有权取消本次采购中标决定。</w:t>
      </w:r>
      <w:bookmarkStart w:id="134" w:name="_Toc200451963"/>
    </w:p>
    <w:bookmarkEnd w:id="134"/>
    <w:p>
      <w:pPr>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34.2</w:t>
      </w:r>
      <w:r>
        <w:rPr>
          <w:rFonts w:hint="eastAsia" w:ascii="宋体" w:hAnsi="宋体" w:eastAsia="宋体" w:cs="宋体"/>
          <w:bCs/>
          <w:color w:val="auto"/>
          <w:sz w:val="28"/>
          <w:szCs w:val="28"/>
          <w:highlight w:val="none"/>
        </w:rPr>
        <w:t>履约保证金的退还：合同履行结束后，中标人凭采购人签署的同意退还履约保证金的证明（格式见招标文件附件《履约保证金退还申请》,加盖采购单位公章），前往采购单位办理保证金退还手续（无息退还）。</w:t>
      </w:r>
    </w:p>
    <w:bookmarkEnd w:id="131"/>
    <w:bookmarkEnd w:id="132"/>
    <w:bookmarkEnd w:id="133"/>
    <w:p>
      <w:pPr>
        <w:pStyle w:val="6"/>
        <w:spacing w:before="0" w:after="0" w:line="460" w:lineRule="exact"/>
        <w:ind w:firstLine="560" w:firstLineChars="200"/>
        <w:rPr>
          <w:rFonts w:hint="eastAsia" w:ascii="宋体" w:hAnsi="宋体" w:eastAsia="宋体" w:cs="宋体"/>
          <w:b w:val="0"/>
          <w:color w:val="auto"/>
          <w:sz w:val="28"/>
          <w:szCs w:val="28"/>
          <w:highlight w:val="none"/>
        </w:rPr>
      </w:pPr>
      <w:bookmarkStart w:id="135" w:name="_Toc20823314"/>
      <w:bookmarkStart w:id="136" w:name="_Toc16938558"/>
      <w:bookmarkStart w:id="137" w:name="_Toc120614221"/>
      <w:bookmarkStart w:id="138" w:name="_Toc513029242"/>
      <w:bookmarkStart w:id="139" w:name="_Toc479757207"/>
      <w:r>
        <w:rPr>
          <w:rFonts w:hint="eastAsia" w:ascii="宋体" w:hAnsi="宋体" w:eastAsia="宋体" w:cs="宋体"/>
          <w:b w:val="0"/>
          <w:color w:val="auto"/>
          <w:sz w:val="28"/>
          <w:szCs w:val="28"/>
          <w:highlight w:val="none"/>
        </w:rPr>
        <w:t>八、其他</w:t>
      </w:r>
    </w:p>
    <w:p>
      <w:pPr>
        <w:pStyle w:val="7"/>
        <w:spacing w:before="0" w:after="0" w:line="460" w:lineRule="exact"/>
        <w:ind w:firstLine="56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35、样品</w:t>
      </w:r>
    </w:p>
    <w:p>
      <w:pPr>
        <w:pStyle w:val="5"/>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项目要求提供样品的，中标人的样品由采购人负责保管、封存，并作为履约验收的参考。未中标人的样品不予退还。</w:t>
      </w:r>
    </w:p>
    <w:p>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pPr>
        <w:pStyle w:val="5"/>
        <w:spacing w:line="460" w:lineRule="exact"/>
        <w:ind w:firstLine="560" w:firstLineChars="200"/>
        <w:rPr>
          <w:rFonts w:hint="eastAsia" w:ascii="宋体" w:hAnsi="宋体" w:eastAsia="宋体" w:cs="宋体"/>
          <w:bCs/>
          <w:color w:val="auto"/>
          <w:sz w:val="28"/>
          <w:szCs w:val="28"/>
          <w:highlight w:val="none"/>
        </w:rPr>
      </w:pPr>
    </w:p>
    <w:p>
      <w:pPr>
        <w:pStyle w:val="5"/>
        <w:spacing w:line="566" w:lineRule="exact"/>
        <w:ind w:firstLine="640" w:firstLineChars="200"/>
        <w:rPr>
          <w:rFonts w:hint="eastAsia" w:ascii="宋体" w:hAnsi="宋体" w:eastAsia="宋体" w:cs="宋体"/>
          <w:bCs/>
          <w:color w:val="auto"/>
          <w:sz w:val="32"/>
          <w:szCs w:val="32"/>
          <w:highlight w:val="none"/>
        </w:rPr>
      </w:pPr>
    </w:p>
    <w:p>
      <w:pPr>
        <w:pStyle w:val="3"/>
        <w:numPr>
          <w:ilvl w:val="0"/>
          <w:numId w:val="4"/>
        </w:numPr>
        <w:spacing w:line="566" w:lineRule="exact"/>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合同条款及</w:t>
      </w:r>
      <w:bookmarkEnd w:id="135"/>
      <w:bookmarkEnd w:id="136"/>
      <w:bookmarkEnd w:id="137"/>
      <w:bookmarkEnd w:id="138"/>
      <w:bookmarkEnd w:id="139"/>
      <w:r>
        <w:rPr>
          <w:rFonts w:hint="eastAsia" w:ascii="宋体" w:hAnsi="宋体" w:eastAsia="宋体" w:cs="宋体"/>
          <w:bCs/>
          <w:color w:val="auto"/>
          <w:sz w:val="44"/>
          <w:szCs w:val="44"/>
          <w:highlight w:val="none"/>
        </w:rPr>
        <w:t>格式</w:t>
      </w:r>
    </w:p>
    <w:p>
      <w:pPr>
        <w:spacing w:line="460" w:lineRule="exact"/>
        <w:ind w:firstLine="560" w:firstLineChars="200"/>
        <w:rPr>
          <w:rFonts w:hint="eastAsia" w:ascii="宋体" w:hAnsi="宋体" w:eastAsia="宋体" w:cs="宋体"/>
          <w:bCs/>
          <w:color w:val="auto"/>
          <w:sz w:val="28"/>
          <w:szCs w:val="28"/>
          <w:highlight w:val="none"/>
        </w:rPr>
      </w:pPr>
      <w:bookmarkStart w:id="140" w:name="_Toc16938559"/>
      <w:bookmarkStart w:id="141" w:name="_Toc20823315"/>
      <w:bookmarkStart w:id="142" w:name="_Toc513029243"/>
      <w:r>
        <w:rPr>
          <w:rFonts w:hint="eastAsia" w:ascii="宋体" w:hAnsi="宋体" w:eastAsia="宋体" w:cs="宋体"/>
          <w:bCs/>
          <w:color w:val="auto"/>
          <w:sz w:val="28"/>
          <w:szCs w:val="28"/>
          <w:highlight w:val="none"/>
        </w:rPr>
        <w:t>以下为中标后签订本项目合同的通用条款，中标人不得提出实质性的修改，关于专用条款将由采购人与中标人结合本项目具体情况协商后签订。</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采购合同（货物、服务）（合同编号）</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                        项目编号：</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甲方：（买方）_________</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乙方：（卖方）_________</w:t>
      </w:r>
    </w:p>
    <w:p>
      <w:pPr>
        <w:pStyle w:val="18"/>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甲、乙双方根据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项目公开招标的结果，签署本合同。</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一、货物、服务内容</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货物、服务名称：</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型号规格：</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数量（单位）：</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二、合同金额</w:t>
      </w:r>
    </w:p>
    <w:p>
      <w:pPr>
        <w:pStyle w:val="18"/>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本合同金额为（大写）：________________元（________元）人民币。</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三、技术资料</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3.1乙方应按招标文件规定的时间向甲方提供使用货物、服务的有关技术资料。</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四、知识产权</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4.1乙方应保证甲方在使用、接受本合同货物和服务或其任何一部分时不受第三方提出侵犯其专利权、版权、商标权和工业设计权等知识产权的起诉。一旦出现侵权，由乙方负全部责任。</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五、产权担保</w:t>
      </w:r>
    </w:p>
    <w:p>
      <w:pPr>
        <w:pStyle w:val="18"/>
        <w:snapToGrid w:val="0"/>
        <w:spacing w:line="4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5.1 乙方保证所交付的货物、服务的所有权完全属于乙方且无任何抵押、查封等产权瑕疵。</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六、履约保证金</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 乙方交纳人民币_________元作为本合同的履约保证金。</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七、转包或分包</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7.1本合同范围的货物、服务，应由乙方直接供应，不得转让他人供应；</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 除非得到甲方的书面同意，乙方不得部分分包给他人供应。</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7.3如有转让和未经甲方同意的分包行为，甲方有权给予终止合同。</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八、质保期</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 质保期</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年。（自交货验收合格之日起计）</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九、交货期、交货方式及交货地点</w:t>
      </w:r>
    </w:p>
    <w:p>
      <w:pPr>
        <w:spacing w:line="460" w:lineRule="exact"/>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9.1 交货期：</w:t>
      </w:r>
      <w:r>
        <w:rPr>
          <w:rFonts w:hint="eastAsia" w:ascii="宋体" w:hAnsi="宋体" w:eastAsia="宋体" w:cs="宋体"/>
          <w:color w:val="auto"/>
          <w:sz w:val="28"/>
          <w:szCs w:val="28"/>
          <w:highlight w:val="none"/>
        </w:rPr>
        <w:t>___</w:t>
      </w:r>
      <w:r>
        <w:rPr>
          <w:rFonts w:hint="eastAsia" w:ascii="宋体" w:hAnsi="宋体" w:eastAsia="宋体" w:cs="宋体"/>
          <w:bCs/>
          <w:color w:val="auto"/>
          <w:sz w:val="28"/>
          <w:szCs w:val="28"/>
          <w:highlight w:val="none"/>
          <w:u w:val="single"/>
        </w:rPr>
        <w:t>合同签订后，招标人每次电话通知，10日历天内交货至招标人地点，并同时回收已使用过的产品。</w:t>
      </w:r>
    </w:p>
    <w:p>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本供货合同履行期限一年，若使用效果良好，合同到期后可视情况续签一次。</w:t>
      </w:r>
    </w:p>
    <w:p>
      <w:pPr>
        <w:pStyle w:val="18"/>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9.2 交货方式：</w:t>
      </w:r>
      <w:r>
        <w:rPr>
          <w:rFonts w:hint="eastAsia" w:ascii="宋体" w:hAnsi="宋体" w:eastAsia="宋体" w:cs="宋体"/>
          <w:color w:val="auto"/>
          <w:sz w:val="28"/>
          <w:szCs w:val="28"/>
          <w:highlight w:val="none"/>
          <w:u w:val="single"/>
        </w:rPr>
        <w:t>供应商送货上门</w:t>
      </w:r>
      <w:r>
        <w:rPr>
          <w:rFonts w:hint="eastAsia" w:ascii="宋体" w:hAnsi="宋体" w:eastAsia="宋体" w:cs="宋体"/>
          <w:color w:val="auto"/>
          <w:sz w:val="28"/>
          <w:szCs w:val="28"/>
          <w:highlight w:val="none"/>
        </w:rPr>
        <w:t>__</w:t>
      </w:r>
    </w:p>
    <w:p>
      <w:pPr>
        <w:pStyle w:val="18"/>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9.3 交货地点：</w:t>
      </w:r>
      <w:r>
        <w:rPr>
          <w:rFonts w:hint="eastAsia" w:ascii="宋体" w:hAnsi="宋体" w:eastAsia="宋体" w:cs="宋体"/>
          <w:bCs/>
          <w:color w:val="auto"/>
          <w:sz w:val="28"/>
          <w:szCs w:val="28"/>
          <w:highlight w:val="none"/>
          <w:u w:val="single"/>
        </w:rPr>
        <w:t>招标人地点</w:t>
      </w:r>
      <w:r>
        <w:rPr>
          <w:rFonts w:hint="eastAsia" w:ascii="宋体" w:hAnsi="宋体" w:eastAsia="宋体" w:cs="宋体"/>
          <w:color w:val="auto"/>
          <w:sz w:val="28"/>
          <w:szCs w:val="28"/>
          <w:highlight w:val="none"/>
        </w:rPr>
        <w:t>_______</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十、货款支付</w:t>
      </w:r>
    </w:p>
    <w:p>
      <w:pPr>
        <w:pStyle w:val="18"/>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10.1 付款方式：</w:t>
      </w:r>
      <w:r>
        <w:rPr>
          <w:rFonts w:hint="eastAsia" w:ascii="宋体" w:hAnsi="宋体" w:eastAsia="宋体" w:cs="宋体"/>
          <w:color w:val="auto"/>
          <w:sz w:val="28"/>
          <w:szCs w:val="28"/>
          <w:highlight w:val="none"/>
        </w:rPr>
        <w:t>_</w:t>
      </w:r>
      <w:r>
        <w:rPr>
          <w:rFonts w:hint="eastAsia" w:ascii="宋体" w:hAnsi="宋体" w:eastAsia="宋体" w:cs="宋体"/>
          <w:color w:val="auto"/>
          <w:sz w:val="28"/>
          <w:szCs w:val="28"/>
          <w:highlight w:val="none"/>
          <w:u w:val="single"/>
        </w:rPr>
        <w:t>按季度结算。每季度末后20日内，凭供应商有效发票，结算支付上一季度相应货款（单价执行中标价，数量按实）</w:t>
      </w:r>
      <w:r>
        <w:rPr>
          <w:rFonts w:hint="eastAsia" w:ascii="宋体" w:hAnsi="宋体" w:eastAsia="宋体" w:cs="宋体"/>
          <w:color w:val="auto"/>
          <w:sz w:val="28"/>
          <w:szCs w:val="28"/>
          <w:highlight w:val="none"/>
        </w:rPr>
        <w:t>。</w:t>
      </w:r>
    </w:p>
    <w:p>
      <w:pPr>
        <w:pStyle w:val="18"/>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10.2</w:t>
      </w:r>
      <w:r>
        <w:rPr>
          <w:rFonts w:hint="eastAsia" w:ascii="宋体" w:hAnsi="宋体" w:eastAsia="宋体" w:cs="宋体"/>
          <w:color w:val="auto"/>
          <w:sz w:val="28"/>
          <w:szCs w:val="28"/>
          <w:highlight w:val="none"/>
        </w:rPr>
        <w:t>当采购数量与实际使用数量不一致时，乙方应根据实际使用量提供，合同的最终结算金额按实际使用量乘以成交单价进行计算。</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十一.税费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11.1本合同执行中相关的一切税费均由乙方负担。</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十二、质量保证及售后服务</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 乙方应按招标文件规定的货物、服务的性能、技术要求、质量标准向甲方提供未经使用的全新产品或服务。</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乙方提供的货物、服务在质量期内因货物、服务本身的质量问题发生故障，乙方应负责免费更换。对达不到技术要求者，根据实际情况，经双方协商，可按以下办法处理：</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⑴更换：由乙方承担所发生的全部费用。</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⑵贬值处理：由甲乙双方合议定价。</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⑶退货处理：乙方应退还甲方支付的合同款，同时应承担该货物、服务的直接费用（运输、保险、检验、货款利息及银行手续费等）。</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 如在使用过程中发生质量问题，乙方在接到甲方通知后在_________小时内到达甲方现场。</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 在质保期内，乙方应对货物、服务出现的质量及安全问题负责处理解决并承担一切费用。</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12.5上述的货物、服务免费保修期为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年，因人为因素出现的故障不在免费保修范围内。超过保修期的机器设备，终生维修，维修时只收部件成本费。</w:t>
      </w:r>
    </w:p>
    <w:p>
      <w:pPr>
        <w:pStyle w:val="18"/>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十三、调试和验收</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 甲方对乙方提交的货物、服务依据招标文件上的技术规格要求和国家有关质量标准进行现场初步验收，外观、说明书符合招标文件技术要求的，给予签收，初步验收不合格的不予签收。货到后，甲方需在五个工作日内验收。</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 乙方交货前应对产品作出全面检查和对验收文件进行整理，并列出清单，作为甲方收货验收和使用的技术条件依据，检验的结果应随货物、服务交甲方。</w:t>
      </w:r>
    </w:p>
    <w:p>
      <w:pPr>
        <w:pStyle w:val="18"/>
        <w:snapToGrid w:val="0"/>
        <w:spacing w:line="4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13.3 甲方对乙方提供的货物、服务在使用前进行调试时，乙方需负责安装并培训甲方的使用操作人员，并协助甲方一起调试，直到符合技术要求，甲方才做最终验收。</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13.4 对技术复杂的货物、服务，甲方可请国家认可的专业检测机构参与初步验收及最终验收，并由其出具质量检测报告。</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13.5 验收时乙方必须在现场，验收完毕后作出验收结果报告；验收费用由甲乙双方协商解决。</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十四、货物、服务包装、发运及运输</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乙方应在货物、服务发运前对其进行满足运输距离、防潮、防震、防锈和防破损装卸等要求包装，以保证货物、服务安全运达甲方指定地点。</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使用说明书、质量检验证明书、随配附件和工具以及清单一并附于货物、服务内。</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14.3 乙方在货物、服务发运手续办理完毕后24小时内或货到甲方48小时前通知甲方，以准备接货。</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 货物、服务在交付甲方前发生的风险均由乙方负责。</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14.5 货物、服务在规定的交付期限内由乙方送达甲方指定的地点视为交付，乙方同时需通知甲方货物、服务已送达。</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十五、违约责任</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15.1 甲方无正当理由拒收货物、服务的，甲方向乙方偿付拒收货款总值的百分之五违约金。</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15.2 甲方无故逾期验收和办理货款支付手续的,甲方应按逾期付款总额每日万分之五向乙方支付违约金。</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15.3 乙方逾期交付货物、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15.5 乙方须按照国家规范和投标约定，按相关环保要求处理回收的已使用过的寿毯。乙方未按环保要求处理的，责任由乙方承担，甲方有权单方面解除合同。</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十六、不可抗力事件处理</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在合同有效期内，任何一方因不可抗力事件导致不能履行合同，则合同履行期可延长，其延长期与不可抗力影响期相同。</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 不可抗力事件发生后，应立即通知对方，并寄送有关权威机构出具的证明。</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16.3 不可抗力事件延续120天以上，双方应通过友好协商，确定是否继续履行合同。</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十七、诉讼</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 双方在执行合同中所发生的一切争议，应通过协商解决。如协商不成，可向合同签订地法院起诉，合同签订地在此约定为南通市。</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十八、合同生效及其它</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 合同经双方法定代表人或授权委托代表人签字并加盖单位公章后生效。</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18.2本合同未尽事宜，遵照《合同法》有关条文执行。</w:t>
      </w:r>
    </w:p>
    <w:p>
      <w:pPr>
        <w:pStyle w:val="18"/>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 本合同正本一式三份，具有同等法律效力，甲方、乙方各执一份，向主管部门备案一份。</w:t>
      </w:r>
    </w:p>
    <w:p>
      <w:pPr>
        <w:pStyle w:val="18"/>
        <w:snapToGrid w:val="0"/>
        <w:spacing w:line="460" w:lineRule="exact"/>
        <w:ind w:left="560" w:hanging="560" w:hanging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甲方：                      乙方： </w:t>
      </w:r>
    </w:p>
    <w:p>
      <w:pPr>
        <w:pStyle w:val="18"/>
        <w:snapToGrid w:val="0"/>
        <w:spacing w:line="4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地址：                      地址： </w:t>
      </w:r>
    </w:p>
    <w:p>
      <w:pPr>
        <w:pStyle w:val="18"/>
        <w:snapToGrid w:val="0"/>
        <w:spacing w:line="460" w:lineRule="exact"/>
        <w:ind w:left="560" w:hanging="560" w:hangingChars="200"/>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 xml:space="preserve">    法定代表人或授权代表：      法定代表人或授权代表：                             签订日期：      年  月  日</w:t>
      </w:r>
      <w:bookmarkEnd w:id="140"/>
      <w:bookmarkEnd w:id="141"/>
      <w:bookmarkEnd w:id="142"/>
      <w:bookmarkStart w:id="143" w:name="_Hlt16619369"/>
      <w:bookmarkEnd w:id="143"/>
      <w:bookmarkStart w:id="144" w:name="_Hlt16619350"/>
      <w:bookmarkStart w:id="145" w:name="_Toc120614244"/>
      <w:bookmarkStart w:id="146" w:name="_Toc16938590"/>
      <w:bookmarkStart w:id="147" w:name="_Toc20823346"/>
      <w:bookmarkStart w:id="148" w:name="_Toc479757211"/>
      <w:bookmarkStart w:id="149" w:name="_Toc462564139"/>
      <w:r>
        <w:rPr>
          <w:rFonts w:hint="eastAsia" w:ascii="宋体" w:hAnsi="宋体" w:eastAsia="宋体" w:cs="宋体"/>
          <w:bCs/>
          <w:color w:val="auto"/>
          <w:sz w:val="28"/>
          <w:szCs w:val="28"/>
          <w:highlight w:val="none"/>
        </w:rPr>
        <w:br w:type="page"/>
      </w:r>
    </w:p>
    <w:p>
      <w:pPr>
        <w:pStyle w:val="3"/>
        <w:spacing w:line="566" w:lineRule="exact"/>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第</w:t>
      </w:r>
      <w:bookmarkEnd w:id="144"/>
      <w:r>
        <w:rPr>
          <w:rFonts w:hint="eastAsia" w:ascii="宋体" w:hAnsi="宋体" w:eastAsia="宋体" w:cs="宋体"/>
          <w:bCs/>
          <w:color w:val="auto"/>
          <w:sz w:val="44"/>
          <w:szCs w:val="44"/>
          <w:highlight w:val="none"/>
        </w:rPr>
        <w:t>四章 项目需求</w:t>
      </w:r>
      <w:bookmarkEnd w:id="145"/>
      <w:bookmarkEnd w:id="146"/>
      <w:bookmarkEnd w:id="147"/>
    </w:p>
    <w:p>
      <w:pPr>
        <w:rPr>
          <w:rFonts w:hint="eastAsia" w:ascii="宋体" w:hAnsi="宋体" w:eastAsia="宋体" w:cs="宋体"/>
          <w:color w:val="auto"/>
          <w:highlight w:val="none"/>
        </w:rPr>
      </w:pPr>
    </w:p>
    <w:p>
      <w:pPr>
        <w:pStyle w:val="55"/>
        <w:snapToGrid w:val="0"/>
        <w:spacing w:line="460" w:lineRule="exact"/>
        <w:ind w:firstLine="562" w:firstLineChars="200"/>
        <w:contextualSpacing/>
        <w:rPr>
          <w:rFonts w:hint="eastAsia" w:ascii="宋体" w:hAnsi="宋体" w:eastAsia="宋体" w:cs="宋体"/>
          <w:snapToGrid w:val="0"/>
          <w:color w:val="auto"/>
          <w:sz w:val="28"/>
          <w:highlight w:val="none"/>
        </w:rPr>
      </w:pPr>
      <w:bookmarkStart w:id="150" w:name="_Toc26554093"/>
      <w:bookmarkStart w:id="151" w:name="_Toc49090575"/>
      <w:r>
        <w:rPr>
          <w:rFonts w:hint="eastAsia" w:ascii="宋体" w:hAnsi="宋体" w:eastAsia="宋体" w:cs="宋体"/>
          <w:b/>
          <w:snapToGrid w:val="0"/>
          <w:color w:val="auto"/>
          <w:sz w:val="28"/>
          <w:highlight w:val="none"/>
          <w:lang w:val="zh-CN"/>
        </w:rPr>
        <w:t>请投标人在报名和制作投标文件时仔细研究项目需求说明。</w:t>
      </w:r>
      <w:r>
        <w:rPr>
          <w:rFonts w:hint="eastAsia" w:ascii="宋体" w:hAnsi="宋体" w:eastAsia="宋体" w:cs="宋体"/>
          <w:snapToGrid w:val="0"/>
          <w:color w:val="auto"/>
          <w:sz w:val="28"/>
          <w:highlight w:val="none"/>
          <w:lang w:val="zh-CN"/>
        </w:rPr>
        <w:t>投标人不能简单照搬照抄采购单位项目需求说明中的技术、商务要求，必须作实事求是的响应。如照搬照抄项目需求说明中的技术、商务要求的，中标后供应商在与采购单位签订合同和履约环节中不得提出异议，一切后果和损失由中标供应商承担。如投标人提供的货物和服务同采购单位提出的项目需求说明中的技术、商务要求不同的，必须在《商</w:t>
      </w:r>
      <w:r>
        <w:rPr>
          <w:rFonts w:hint="eastAsia" w:ascii="宋体" w:hAnsi="宋体" w:eastAsia="宋体" w:cs="宋体"/>
          <w:snapToGrid w:val="0"/>
          <w:color w:val="auto"/>
          <w:sz w:val="28"/>
          <w:highlight w:val="none"/>
        </w:rPr>
        <w:t>务部分正负偏离表》和《技术部分正负偏离表》上明示，如不明示的视同完全响应</w:t>
      </w:r>
      <w:r>
        <w:rPr>
          <w:rFonts w:hint="eastAsia" w:ascii="宋体" w:hAnsi="宋体" w:eastAsia="宋体" w:cs="宋体"/>
          <w:snapToGrid w:val="0"/>
          <w:color w:val="auto"/>
          <w:sz w:val="28"/>
          <w:highlight w:val="none"/>
          <w:lang w:val="zh-CN"/>
        </w:rPr>
        <w:t>。</w:t>
      </w:r>
    </w:p>
    <w:p>
      <w:pPr>
        <w:snapToGrid w:val="0"/>
        <w:spacing w:line="460" w:lineRule="exact"/>
        <w:ind w:firstLine="562" w:firstLineChars="200"/>
        <w:contextualSpacing/>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一、有关要求说明</w:t>
      </w:r>
    </w:p>
    <w:p>
      <w:pPr>
        <w:tabs>
          <w:tab w:val="left" w:pos="1710"/>
        </w:tabs>
        <w:snapToGrid w:val="0"/>
        <w:spacing w:line="460" w:lineRule="exact"/>
        <w:ind w:firstLine="554" w:firstLineChars="197"/>
        <w:contextualSpacing/>
        <w:rPr>
          <w:rFonts w:hint="eastAsia" w:ascii="宋体" w:hAnsi="宋体" w:eastAsia="宋体" w:cs="宋体"/>
          <w:snapToGrid w:val="0"/>
          <w:color w:val="auto"/>
          <w:kern w:val="0"/>
          <w:sz w:val="28"/>
          <w:szCs w:val="28"/>
          <w:highlight w:val="none"/>
          <w:lang w:val="zh-CN"/>
        </w:rPr>
      </w:pPr>
      <w:r>
        <w:rPr>
          <w:rFonts w:hint="eastAsia" w:ascii="宋体" w:hAnsi="宋体" w:eastAsia="宋体" w:cs="宋体"/>
          <w:b/>
          <w:snapToGrid w:val="0"/>
          <w:color w:val="auto"/>
          <w:sz w:val="28"/>
          <w:szCs w:val="28"/>
          <w:highlight w:val="none"/>
        </w:rPr>
        <w:t>1、</w:t>
      </w:r>
      <w:r>
        <w:rPr>
          <w:rFonts w:hint="eastAsia" w:ascii="宋体" w:hAnsi="宋体" w:eastAsia="宋体" w:cs="宋体"/>
          <w:b/>
          <w:snapToGrid w:val="0"/>
          <w:color w:val="auto"/>
          <w:kern w:val="0"/>
          <w:sz w:val="28"/>
          <w:szCs w:val="28"/>
          <w:highlight w:val="none"/>
          <w:lang w:val="zh-CN"/>
        </w:rPr>
        <w:t>产品要求：</w:t>
      </w:r>
      <w:r>
        <w:rPr>
          <w:rFonts w:hint="eastAsia" w:ascii="宋体" w:hAnsi="宋体" w:eastAsia="宋体" w:cs="宋体"/>
          <w:snapToGrid w:val="0"/>
          <w:color w:val="auto"/>
          <w:kern w:val="0"/>
          <w:sz w:val="28"/>
          <w:szCs w:val="28"/>
          <w:highlight w:val="none"/>
          <w:lang w:val="zh-CN"/>
        </w:rPr>
        <w:t>产品必须是全新、未使用过的原装合格正品，完全符合采购文件规定的质量、规格和性能的要求，不低于样品的质量，达到国家或行业规定的标准，实行生产许可证制度的，应提供生产许可证；属于国家强制认证的产品，必须通过认证。</w:t>
      </w:r>
    </w:p>
    <w:p>
      <w:pPr>
        <w:snapToGrid w:val="0"/>
        <w:spacing w:line="460" w:lineRule="exact"/>
        <w:ind w:firstLine="422" w:firstLineChars="150"/>
        <w:contextualSpacing/>
        <w:outlineLvl w:val="0"/>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二、项目具体需求说明</w:t>
      </w:r>
    </w:p>
    <w:tbl>
      <w:tblPr>
        <w:tblStyle w:val="36"/>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4619"/>
        <w:gridCol w:w="867"/>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62"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物品名称</w:t>
            </w:r>
          </w:p>
        </w:tc>
        <w:tc>
          <w:tcPr>
            <w:tcW w:w="4619"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技术要求</w:t>
            </w:r>
          </w:p>
        </w:tc>
        <w:tc>
          <w:tcPr>
            <w:tcW w:w="867"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单位</w:t>
            </w:r>
          </w:p>
        </w:tc>
        <w:tc>
          <w:tcPr>
            <w:tcW w:w="1022" w:type="dxa"/>
            <w:vAlign w:val="center"/>
          </w:tcPr>
          <w:p>
            <w:pPr>
              <w:spacing w:line="460" w:lineRule="exact"/>
              <w:ind w:left="1063" w:hanging="1063" w:hangingChars="37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562"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拣灰炉寿毯</w:t>
            </w:r>
          </w:p>
        </w:tc>
        <w:tc>
          <w:tcPr>
            <w:tcW w:w="4619" w:type="dxa"/>
            <w:vAlign w:val="center"/>
          </w:tcPr>
          <w:p>
            <w:pPr>
              <w:widowControl/>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1、尺寸：长2100mm  宽650mm  厚10mm</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2、主材：陶瓷纤维棉，耐温≥1200℃</w:t>
            </w:r>
          </w:p>
          <w:p>
            <w:pPr>
              <w:widowControl/>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3、寿毯外包装材质：无纺布</w:t>
            </w:r>
          </w:p>
          <w:p>
            <w:pPr>
              <w:widowControl/>
              <w:spacing w:line="460" w:lineRule="exac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4、遗体火化结束，原有的垫子可以卷起拿走，便于清理。</w:t>
            </w:r>
          </w:p>
        </w:tc>
        <w:tc>
          <w:tcPr>
            <w:tcW w:w="867" w:type="dxa"/>
            <w:vAlign w:val="center"/>
          </w:tcPr>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条</w:t>
            </w:r>
          </w:p>
        </w:tc>
        <w:tc>
          <w:tcPr>
            <w:tcW w:w="1022" w:type="dxa"/>
            <w:vAlign w:val="center"/>
          </w:tcPr>
          <w:p>
            <w:pPr>
              <w:spacing w:line="460" w:lineRule="exact"/>
              <w:jc w:val="center"/>
              <w:rPr>
                <w:rFonts w:hint="eastAsia" w:ascii="宋体" w:hAnsi="宋体" w:eastAsia="宋体" w:cs="宋体"/>
                <w:b/>
                <w:bCs/>
                <w:color w:val="auto"/>
                <w:sz w:val="28"/>
                <w:szCs w:val="28"/>
                <w:highlight w:val="none"/>
              </w:rPr>
            </w:pPr>
          </w:p>
        </w:tc>
      </w:tr>
    </w:tbl>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注：数量以采购人实际需求为准。</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（一）送样要求</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1、投标时必须按照本招标文件要求，在报名时一并提交所投货物的样品，样品注明投标单位名称、品名、规格型号。</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2、样品的材质必须达到采购单位的要求，且投标单位所投样品必须与投标文件中描述一致。如为已中标单位的所投样品与投标文件中描述不一致，则将取消其中标资格，并按虚假应标相关处理办法处理。</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（二）货物要求</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1、货物应能确保在正常的使用过程中安全、可靠并符合国家颁布的货物、质量、技术、安全等标准。</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2、货物应符合中华人民共和国国家标准或行业标准；如果中华人民共和国没有相关标准的，则采用货物来源国适用的官方标准。</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（三）特别说明</w:t>
      </w:r>
    </w:p>
    <w:p>
      <w:pPr>
        <w:widowControl/>
        <w:spacing w:line="460" w:lineRule="exact"/>
        <w:ind w:firstLine="560" w:firstLineChars="200"/>
        <w:jc w:val="left"/>
        <w:rPr>
          <w:rFonts w:hint="eastAsia" w:ascii="宋体" w:hAnsi="宋体" w:eastAsia="宋体" w:cs="宋体"/>
          <w:b/>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1、</w:t>
      </w:r>
      <w:r>
        <w:rPr>
          <w:rFonts w:hint="eastAsia" w:ascii="宋体" w:hAnsi="宋体" w:eastAsia="宋体" w:cs="宋体"/>
          <w:b/>
          <w:snapToGrid w:val="0"/>
          <w:color w:val="auto"/>
          <w:kern w:val="0"/>
          <w:sz w:val="28"/>
          <w:szCs w:val="28"/>
          <w:highlight w:val="none"/>
          <w:lang w:val="zh-CN"/>
        </w:rPr>
        <w:t>投标单位的报价需考虑已使用过的寿毯的回收费用。</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2、投标单位所投货物响应技术参数要求，同时明确所投货物的型号、规格和外形、尺寸、安装尺寸、重量及一些必须说明的技术参数，以及使用的材料的清单，同时明确生产厂家、型号规格等，并提供详细的技术参数及性能说明书。</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（四）报价要求</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1、投标单位应从自身的实力出发自主确定报价，报价不得低于成本。</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2、投标报价一次报定，包括所投产品生产、税费及包装、运至最终目的地的运输、保险、检测验收、技术支持与培训、回收及相关劳务支出等工作所发生的全部费用以及投标人企业利润、税金和政策性文件规定及合同包含的所有风险、责任等各项应有费用。</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3、投标项目的招评标费用由中标人承担（由投标人综合考虑，报价时不单列）。</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（五）包装和装运</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1、包装必须与运输方式相适应，包装方式的确定由中标单位负责；由于不适当的包装而造成货物在运输过程中有任何损坏由中标单位负责。</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2、包装应足以承受整个过程中的运输、转运、装卸、储存等，充分考虑到运输途中的各种情况（如暴露于恶劣气候等）和南通地区的气候特点。</w:t>
      </w:r>
      <w:bookmarkStart w:id="152" w:name="_Toc135155430"/>
      <w:bookmarkStart w:id="153" w:name="_Toc136761453"/>
    </w:p>
    <w:p>
      <w:pPr>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（六）交货时间</w:t>
      </w:r>
      <w:bookmarkEnd w:id="152"/>
      <w:bookmarkEnd w:id="153"/>
      <w:r>
        <w:rPr>
          <w:rFonts w:hint="eastAsia" w:ascii="宋体" w:hAnsi="宋体" w:eastAsia="宋体" w:cs="宋体"/>
          <w:snapToGrid w:val="0"/>
          <w:color w:val="auto"/>
          <w:kern w:val="0"/>
          <w:sz w:val="28"/>
          <w:szCs w:val="28"/>
          <w:highlight w:val="none"/>
          <w:lang w:val="zh-CN"/>
        </w:rPr>
        <w:t>: 合同签订后，招标人每次电话通知，10日历天内交货至招标人地点。未在交货期限内履行交货协议的，超出时间按照每天扣除合同金额的1%。</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bookmarkStart w:id="154" w:name="_Toc135144306"/>
      <w:bookmarkStart w:id="155" w:name="_Toc11134852"/>
      <w:bookmarkStart w:id="156" w:name="_Toc136761454"/>
      <w:bookmarkStart w:id="157" w:name="_Toc513367646"/>
      <w:bookmarkStart w:id="158" w:name="_Toc135155431"/>
      <w:r>
        <w:rPr>
          <w:rFonts w:hint="eastAsia" w:ascii="宋体" w:hAnsi="宋体" w:eastAsia="宋体" w:cs="宋体"/>
          <w:snapToGrid w:val="0"/>
          <w:color w:val="auto"/>
          <w:kern w:val="0"/>
          <w:sz w:val="28"/>
          <w:szCs w:val="28"/>
          <w:highlight w:val="none"/>
          <w:lang w:val="zh-CN"/>
        </w:rPr>
        <w:t>（七）交货地点</w:t>
      </w:r>
      <w:bookmarkEnd w:id="154"/>
      <w:bookmarkEnd w:id="155"/>
      <w:bookmarkEnd w:id="156"/>
      <w:bookmarkEnd w:id="157"/>
      <w:bookmarkEnd w:id="158"/>
      <w:r>
        <w:rPr>
          <w:rFonts w:hint="eastAsia" w:ascii="宋体" w:hAnsi="宋体" w:eastAsia="宋体" w:cs="宋体"/>
          <w:snapToGrid w:val="0"/>
          <w:color w:val="auto"/>
          <w:kern w:val="0"/>
          <w:sz w:val="28"/>
          <w:szCs w:val="28"/>
          <w:highlight w:val="none"/>
          <w:lang w:val="zh-CN"/>
        </w:rPr>
        <w:t>:</w:t>
      </w:r>
      <w:bookmarkStart w:id="159" w:name="_Toc135144309"/>
      <w:bookmarkStart w:id="160" w:name="_Toc136761456"/>
      <w:bookmarkStart w:id="161" w:name="_Toc135155433"/>
      <w:r>
        <w:rPr>
          <w:rFonts w:hint="eastAsia" w:ascii="宋体" w:hAnsi="宋体" w:eastAsia="宋体" w:cs="宋体"/>
          <w:snapToGrid w:val="0"/>
          <w:color w:val="auto"/>
          <w:kern w:val="0"/>
          <w:sz w:val="28"/>
          <w:szCs w:val="28"/>
          <w:highlight w:val="none"/>
          <w:lang w:val="zh-CN"/>
        </w:rPr>
        <w:t>具体按采购方指定地点。</w:t>
      </w:r>
    </w:p>
    <w:p>
      <w:pPr>
        <w:widowControl/>
        <w:spacing w:line="460" w:lineRule="exact"/>
        <w:ind w:firstLine="560" w:firstLineChars="200"/>
        <w:jc w:val="left"/>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（八）安装、检验与质量保证</w:t>
      </w:r>
      <w:bookmarkEnd w:id="159"/>
      <w:bookmarkEnd w:id="160"/>
      <w:bookmarkEnd w:id="161"/>
    </w:p>
    <w:p>
      <w:pPr>
        <w:widowControl/>
        <w:spacing w:line="460" w:lineRule="exact"/>
        <w:ind w:firstLine="562" w:firstLineChars="2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（六）付款</w:t>
      </w:r>
    </w:p>
    <w:p>
      <w:pPr>
        <w:spacing w:line="460" w:lineRule="exact"/>
        <w:ind w:firstLine="420" w:firstLineChars="150"/>
        <w:outlineLvl w:val="0"/>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按季度结算。每季度末后20日内，凭供应商有效发票，结算支付上一季度相应货款（单价执行中标价，数量按实）。</w:t>
      </w:r>
    </w:p>
    <w:p>
      <w:pPr>
        <w:widowControl/>
        <w:spacing w:line="460" w:lineRule="exact"/>
        <w:ind w:firstLine="562" w:firstLineChars="2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（七）合同履行</w:t>
      </w:r>
    </w:p>
    <w:p>
      <w:pPr>
        <w:spacing w:line="460" w:lineRule="exact"/>
        <w:ind w:firstLine="560" w:firstLineChars="200"/>
        <w:outlineLvl w:val="0"/>
        <w:rPr>
          <w:rFonts w:hint="eastAsia" w:ascii="宋体" w:hAnsi="宋体" w:eastAsia="宋体" w:cs="宋体"/>
          <w:snapToGrid w:val="0"/>
          <w:color w:val="auto"/>
          <w:kern w:val="0"/>
          <w:sz w:val="28"/>
          <w:szCs w:val="28"/>
          <w:highlight w:val="none"/>
          <w:lang w:val="zh-CN"/>
        </w:rPr>
      </w:pPr>
      <w:r>
        <w:rPr>
          <w:rFonts w:hint="eastAsia" w:ascii="宋体" w:hAnsi="宋体" w:eastAsia="宋体" w:cs="宋体"/>
          <w:snapToGrid w:val="0"/>
          <w:color w:val="auto"/>
          <w:kern w:val="0"/>
          <w:sz w:val="28"/>
          <w:szCs w:val="28"/>
          <w:highlight w:val="none"/>
          <w:lang w:val="zh-CN"/>
        </w:rPr>
        <w:t>本次采购为一年的用量。若中标人产品使用效果良好，合同到期后可视情况续签一次。</w:t>
      </w:r>
    </w:p>
    <w:p>
      <w:pPr>
        <w:pStyle w:val="3"/>
        <w:spacing w:line="566" w:lineRule="exact"/>
        <w:rPr>
          <w:rFonts w:hint="eastAsia" w:ascii="宋体" w:hAnsi="宋体" w:eastAsia="宋体" w:cs="宋体"/>
          <w:snapToGrid w:val="0"/>
          <w:color w:val="auto"/>
          <w:kern w:val="0"/>
          <w:highlight w:val="none"/>
          <w:lang w:val="zh-CN"/>
        </w:rPr>
      </w:pPr>
      <w:bookmarkStart w:id="162" w:name="_Toc120614281"/>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spacing w:line="566" w:lineRule="exact"/>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第五章  评标方法与评标标准</w:t>
      </w:r>
    </w:p>
    <w:p>
      <w:pPr>
        <w:spacing w:line="566" w:lineRule="exact"/>
        <w:ind w:firstLine="640" w:firstLineChars="200"/>
        <w:rPr>
          <w:rFonts w:hint="eastAsia" w:ascii="宋体" w:hAnsi="宋体" w:eastAsia="宋体" w:cs="宋体"/>
          <w:color w:val="auto"/>
          <w:sz w:val="32"/>
          <w:szCs w:val="32"/>
          <w:highlight w:val="none"/>
        </w:rPr>
      </w:pPr>
    </w:p>
    <w:p>
      <w:pPr>
        <w:pStyle w:val="6"/>
        <w:spacing w:before="0" w:after="0" w:line="46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color w:val="auto"/>
          <w:sz w:val="28"/>
          <w:szCs w:val="28"/>
          <w:highlight w:val="none"/>
        </w:rPr>
        <w:t>一、</w:t>
      </w:r>
      <w:r>
        <w:rPr>
          <w:rFonts w:hint="eastAsia" w:ascii="宋体" w:hAnsi="宋体" w:eastAsia="宋体" w:cs="宋体"/>
          <w:b w:val="0"/>
          <w:bCs w:val="0"/>
          <w:color w:val="auto"/>
          <w:sz w:val="28"/>
          <w:szCs w:val="28"/>
          <w:highlight w:val="none"/>
        </w:rPr>
        <w:t>评标方法与评标标准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采用最低价中标法。采购人代表审核投标人资格，评标委员会对合格投标人的投标文件作符合性审查，然后开启评审价格标，报价最低的投标人中标。</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样品不符合采购人质量要求的，不参加资格审查和价格标评审。</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（一）资格审查</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1、采购人代表审核投标人资格。</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2、评标委员会对合格投标人投标文件作符合性审查。</w:t>
      </w:r>
    </w:p>
    <w:p>
      <w:pPr>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(二)价格标评审</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满足招标文件要求且投标价格最低的投标人中标</w:t>
      </w:r>
    </w:p>
    <w:p>
      <w:pPr>
        <w:pStyle w:val="6"/>
        <w:spacing w:before="0" w:after="0" w:line="460" w:lineRule="exact"/>
        <w:ind w:firstLine="560" w:firstLineChars="20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二、中标（候选）人的确定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1、评委会评审确定中标候选人：</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评标结果按评审后投标报价由低到高顺序排列。出现最低报价相同情况的，由采购人组织现场抽签确定中标人，并写出评标报告。</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2、招标人、采购人代表现场宣布评标结果、告知未中标原因。</w:t>
      </w:r>
    </w:p>
    <w:p>
      <w:pPr>
        <w:spacing w:line="460" w:lineRule="exact"/>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line="300" w:lineRule="auto"/>
        <w:jc w:val="center"/>
        <w:outlineLvl w:val="0"/>
        <w:rPr>
          <w:rFonts w:hint="eastAsia" w:ascii="宋体" w:hAnsi="宋体" w:eastAsia="宋体" w:cs="宋体"/>
          <w:b/>
          <w:snapToGrid w:val="0"/>
          <w:color w:val="auto"/>
          <w:sz w:val="36"/>
          <w:szCs w:val="36"/>
          <w:highlight w:val="none"/>
        </w:rPr>
      </w:pPr>
      <w:r>
        <w:rPr>
          <w:rFonts w:hint="eastAsia" w:ascii="宋体" w:hAnsi="宋体" w:eastAsia="宋体" w:cs="宋体"/>
          <w:bCs/>
          <w:color w:val="auto"/>
          <w:sz w:val="44"/>
          <w:highlight w:val="none"/>
        </w:rPr>
        <w:t>第六章  投标文件组成</w:t>
      </w:r>
    </w:p>
    <w:p>
      <w:pPr>
        <w:snapToGrid w:val="0"/>
        <w:spacing w:line="300" w:lineRule="auto"/>
        <w:ind w:firstLine="555"/>
        <w:jc w:val="center"/>
        <w:rPr>
          <w:rFonts w:hint="eastAsia" w:ascii="宋体" w:hAnsi="宋体" w:eastAsia="宋体" w:cs="宋体"/>
          <w:b/>
          <w:snapToGrid w:val="0"/>
          <w:color w:val="auto"/>
          <w:sz w:val="28"/>
          <w:szCs w:val="28"/>
          <w:highlight w:val="none"/>
        </w:rPr>
      </w:pPr>
    </w:p>
    <w:p>
      <w:pPr>
        <w:snapToGrid w:val="0"/>
        <w:spacing w:line="460" w:lineRule="exact"/>
        <w:ind w:firstLine="555"/>
        <w:jc w:val="left"/>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投标文件由资格审查证明材料、价格标2部分组成。</w:t>
      </w:r>
    </w:p>
    <w:p>
      <w:pPr>
        <w:pStyle w:val="97"/>
        <w:snapToGrid w:val="0"/>
        <w:spacing w:line="460" w:lineRule="exact"/>
        <w:ind w:firstLine="562" w:firstLineChars="200"/>
        <w:contextualSpacing/>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一、资格审查证明材料（不能出现报价，一正2副，单独密封并牢固装订）：</w:t>
      </w:r>
    </w:p>
    <w:p>
      <w:pPr>
        <w:pStyle w:val="97"/>
        <w:snapToGrid w:val="0"/>
        <w:spacing w:line="460" w:lineRule="exact"/>
        <w:ind w:left="549"/>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1、关于资格的声明函； </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2、法人或者其他组织的营业执照等证明文件、自然人的身份证明</w:t>
      </w:r>
      <w:r>
        <w:rPr>
          <w:rFonts w:hint="eastAsia" w:ascii="宋体" w:hAnsi="宋体" w:eastAsia="宋体" w:cs="宋体"/>
          <w:snapToGrid w:val="0"/>
          <w:color w:val="auto"/>
          <w:sz w:val="28"/>
          <w:szCs w:val="28"/>
          <w:highlight w:val="none"/>
          <w:lang w:val="zh-CN"/>
        </w:rPr>
        <w:t>复印件（原件随身备查）</w:t>
      </w:r>
      <w:r>
        <w:rPr>
          <w:rFonts w:hint="eastAsia" w:ascii="宋体" w:hAnsi="宋体" w:eastAsia="宋体" w:cs="宋体"/>
          <w:snapToGrid w:val="0"/>
          <w:color w:val="auto"/>
          <w:sz w:val="28"/>
          <w:szCs w:val="28"/>
          <w:highlight w:val="none"/>
        </w:rPr>
        <w:t>；</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w:t>
      </w:r>
      <w:r>
        <w:rPr>
          <w:rFonts w:hint="eastAsia" w:ascii="宋体" w:hAnsi="宋体" w:eastAsia="宋体" w:cs="宋体"/>
          <w:b/>
          <w:bCs/>
          <w:snapToGrid w:val="0"/>
          <w:color w:val="auto"/>
          <w:sz w:val="28"/>
          <w:szCs w:val="28"/>
          <w:highlight w:val="none"/>
        </w:rPr>
        <w:t>具备履行合同所必需的设备和专业技术能力的书面声明；</w:t>
      </w:r>
    </w:p>
    <w:p>
      <w:pPr>
        <w:pStyle w:val="97"/>
        <w:snapToGrid w:val="0"/>
        <w:spacing w:line="460" w:lineRule="exact"/>
        <w:ind w:left="549"/>
        <w:contextualSpacing/>
        <w:rPr>
          <w:rFonts w:hint="eastAsia" w:ascii="宋体" w:hAnsi="宋体" w:eastAsia="宋体" w:cs="宋体"/>
          <w:snapToGrid w:val="0"/>
          <w:color w:val="auto"/>
          <w:sz w:val="28"/>
          <w:szCs w:val="28"/>
          <w:highlight w:val="none"/>
          <w:lang w:val="zh-CN"/>
        </w:rPr>
      </w:pPr>
      <w:r>
        <w:rPr>
          <w:rFonts w:hint="eastAsia" w:ascii="宋体" w:hAnsi="宋体" w:eastAsia="宋体" w:cs="宋体"/>
          <w:snapToGrid w:val="0"/>
          <w:color w:val="auto"/>
          <w:sz w:val="28"/>
          <w:szCs w:val="28"/>
          <w:highlight w:val="none"/>
          <w:lang w:val="zh-CN"/>
        </w:rPr>
        <w:t>4、</w:t>
      </w:r>
      <w:r>
        <w:rPr>
          <w:rFonts w:hint="eastAsia" w:ascii="宋体" w:hAnsi="宋体" w:eastAsia="宋体" w:cs="宋体"/>
          <w:snapToGrid w:val="0"/>
          <w:color w:val="auto"/>
          <w:sz w:val="28"/>
          <w:szCs w:val="28"/>
          <w:highlight w:val="none"/>
        </w:rPr>
        <w:t>法定代表人身份证明书;</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5、</w:t>
      </w:r>
      <w:r>
        <w:rPr>
          <w:rFonts w:hint="eastAsia" w:ascii="宋体" w:hAnsi="宋体" w:eastAsia="宋体" w:cs="宋体"/>
          <w:snapToGrid w:val="0"/>
          <w:color w:val="auto"/>
          <w:sz w:val="28"/>
          <w:szCs w:val="28"/>
          <w:highlight w:val="none"/>
          <w:lang w:val="zh-CN"/>
        </w:rPr>
        <w:t>法定代表人授权委托书原件，投标代表本人身份证复印件（原件随身备查）；</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6、</w:t>
      </w:r>
      <w:r>
        <w:rPr>
          <w:rFonts w:hint="eastAsia" w:ascii="宋体" w:hAnsi="宋体" w:eastAsia="宋体" w:cs="宋体"/>
          <w:snapToGrid w:val="0"/>
          <w:color w:val="auto"/>
          <w:sz w:val="28"/>
          <w:szCs w:val="28"/>
          <w:highlight w:val="none"/>
          <w:lang w:val="zh-CN"/>
        </w:rPr>
        <w:t>投标人（回收已使用过的寿毯）固废处理承诺函</w:t>
      </w:r>
      <w:r>
        <w:rPr>
          <w:rFonts w:hint="eastAsia" w:ascii="宋体" w:hAnsi="宋体" w:eastAsia="宋体" w:cs="宋体"/>
          <w:snapToGrid w:val="0"/>
          <w:color w:val="auto"/>
          <w:sz w:val="28"/>
          <w:szCs w:val="28"/>
          <w:highlight w:val="none"/>
        </w:rPr>
        <w:t>；</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lang w:val="zh-CN"/>
        </w:rPr>
      </w:pPr>
      <w:r>
        <w:rPr>
          <w:rFonts w:hint="eastAsia" w:ascii="宋体" w:hAnsi="宋体" w:eastAsia="宋体" w:cs="宋体"/>
          <w:snapToGrid w:val="0"/>
          <w:color w:val="auto"/>
          <w:sz w:val="28"/>
          <w:szCs w:val="28"/>
          <w:highlight w:val="none"/>
        </w:rPr>
        <w:t>7、2022年度的财务状况报告（成立不满一年不需提供）</w:t>
      </w:r>
      <w:r>
        <w:rPr>
          <w:rFonts w:hint="eastAsia" w:ascii="宋体" w:hAnsi="宋体" w:eastAsia="宋体" w:cs="宋体"/>
          <w:snapToGrid w:val="0"/>
          <w:color w:val="auto"/>
          <w:sz w:val="28"/>
          <w:szCs w:val="28"/>
          <w:highlight w:val="none"/>
          <w:lang w:val="zh-CN"/>
        </w:rPr>
        <w:t>复印件（原件随身备查）</w:t>
      </w:r>
      <w:r>
        <w:rPr>
          <w:rFonts w:hint="eastAsia" w:ascii="宋体" w:hAnsi="宋体" w:eastAsia="宋体" w:cs="宋体"/>
          <w:snapToGrid w:val="0"/>
          <w:color w:val="auto"/>
          <w:sz w:val="28"/>
          <w:szCs w:val="28"/>
          <w:highlight w:val="none"/>
        </w:rPr>
        <w:t>；</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8、2023年任意月份依法缴纳税收和社会保障资金的相关材料</w:t>
      </w:r>
      <w:r>
        <w:rPr>
          <w:rFonts w:hint="eastAsia" w:ascii="宋体" w:hAnsi="宋体" w:eastAsia="宋体" w:cs="宋体"/>
          <w:snapToGrid w:val="0"/>
          <w:color w:val="auto"/>
          <w:sz w:val="28"/>
          <w:szCs w:val="28"/>
          <w:highlight w:val="none"/>
          <w:lang w:val="zh-CN"/>
        </w:rPr>
        <w:t>复印件（原件随身备查）</w:t>
      </w:r>
      <w:r>
        <w:rPr>
          <w:rFonts w:hint="eastAsia" w:ascii="宋体" w:hAnsi="宋体" w:eastAsia="宋体" w:cs="宋体"/>
          <w:snapToGrid w:val="0"/>
          <w:color w:val="auto"/>
          <w:sz w:val="28"/>
          <w:szCs w:val="28"/>
          <w:highlight w:val="none"/>
        </w:rPr>
        <w:t>；</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9、参加采购活动前3年内在经营活动中没有重大违法记录的书面声明；</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10、投标人认为需要提供的其他资料。</w:t>
      </w:r>
    </w:p>
    <w:p>
      <w:pPr>
        <w:pStyle w:val="97"/>
        <w:snapToGrid w:val="0"/>
        <w:spacing w:line="460" w:lineRule="exact"/>
        <w:ind w:firstLine="562" w:firstLineChars="200"/>
        <w:contextualSpacing/>
        <w:rPr>
          <w:rFonts w:hint="eastAsia" w:ascii="宋体" w:hAnsi="宋体" w:eastAsia="宋体" w:cs="宋体"/>
          <w:snapToGrid w:val="0"/>
          <w:color w:val="auto"/>
          <w:sz w:val="28"/>
          <w:szCs w:val="28"/>
          <w:highlight w:val="none"/>
        </w:rPr>
      </w:pPr>
      <w:r>
        <w:rPr>
          <w:rFonts w:hint="eastAsia" w:ascii="宋体" w:hAnsi="宋体" w:eastAsia="宋体" w:cs="宋体"/>
          <w:b/>
          <w:snapToGrid w:val="0"/>
          <w:color w:val="auto"/>
          <w:sz w:val="28"/>
          <w:szCs w:val="28"/>
          <w:highlight w:val="none"/>
        </w:rPr>
        <w:t>二、价格标：按所投标段一正2副（单独密封并牢固装订），不得出现在资格审查证明材料中：</w:t>
      </w:r>
    </w:p>
    <w:p>
      <w:pPr>
        <w:pStyle w:val="97"/>
        <w:snapToGrid w:val="0"/>
        <w:spacing w:line="460" w:lineRule="exact"/>
        <w:ind w:left="549"/>
        <w:contextualSpacing/>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1、投标响应函；</w:t>
      </w:r>
    </w:p>
    <w:p>
      <w:pPr>
        <w:pStyle w:val="97"/>
        <w:snapToGrid w:val="0"/>
        <w:spacing w:line="460" w:lineRule="exact"/>
        <w:ind w:firstLine="560" w:firstLineChars="200"/>
        <w:contextualSpacing/>
        <w:rPr>
          <w:rFonts w:hint="eastAsia" w:ascii="宋体" w:hAnsi="宋体" w:eastAsia="宋体" w:cs="宋体"/>
          <w:snapToGrid w:val="0"/>
          <w:color w:val="auto"/>
          <w:sz w:val="28"/>
          <w:szCs w:val="28"/>
          <w:highlight w:val="none"/>
          <w:lang w:eastAsia="zh-CN"/>
        </w:rPr>
      </w:pPr>
      <w:r>
        <w:rPr>
          <w:rFonts w:hint="eastAsia" w:ascii="宋体" w:hAnsi="宋体" w:eastAsia="宋体" w:cs="宋体"/>
          <w:snapToGrid w:val="0"/>
          <w:color w:val="auto"/>
          <w:sz w:val="28"/>
          <w:szCs w:val="28"/>
          <w:highlight w:val="none"/>
        </w:rPr>
        <w:t>2、开标一览表</w:t>
      </w:r>
      <w:r>
        <w:rPr>
          <w:rFonts w:hint="eastAsia" w:ascii="宋体" w:hAnsi="宋体" w:eastAsia="宋体" w:cs="宋体"/>
          <w:snapToGrid w:val="0"/>
          <w:color w:val="auto"/>
          <w:sz w:val="28"/>
          <w:szCs w:val="28"/>
          <w:highlight w:val="none"/>
          <w:lang w:eastAsia="zh-CN"/>
        </w:rPr>
        <w:t>。</w:t>
      </w:r>
    </w:p>
    <w:p>
      <w:pPr>
        <w:pStyle w:val="97"/>
        <w:snapToGrid w:val="0"/>
        <w:spacing w:line="300" w:lineRule="auto"/>
        <w:ind w:firstLine="560" w:firstLineChars="200"/>
        <w:contextualSpacing/>
        <w:rPr>
          <w:rFonts w:hint="eastAsia" w:ascii="宋体" w:hAnsi="宋体" w:eastAsia="宋体" w:cs="宋体"/>
          <w:snapToGrid w:val="0"/>
          <w:color w:val="auto"/>
          <w:sz w:val="28"/>
          <w:szCs w:val="28"/>
          <w:highlight w:val="none"/>
        </w:rPr>
      </w:pPr>
    </w:p>
    <w:p>
      <w:pPr>
        <w:pStyle w:val="97"/>
        <w:snapToGrid w:val="0"/>
        <w:spacing w:line="300" w:lineRule="auto"/>
        <w:ind w:firstLine="480" w:firstLineChars="200"/>
        <w:contextualSpacing/>
        <w:rPr>
          <w:rFonts w:hint="eastAsia" w:ascii="宋体" w:hAnsi="宋体" w:eastAsia="宋体" w:cs="宋体"/>
          <w:color w:val="auto"/>
          <w:highlight w:val="none"/>
        </w:rPr>
      </w:pPr>
    </w:p>
    <w:p>
      <w:pPr>
        <w:pStyle w:val="97"/>
        <w:snapToGrid w:val="0"/>
        <w:spacing w:line="300" w:lineRule="auto"/>
        <w:ind w:firstLine="480" w:firstLineChars="200"/>
        <w:contextualSpacing/>
        <w:rPr>
          <w:rFonts w:hint="eastAsia" w:ascii="宋体" w:hAnsi="宋体" w:eastAsia="宋体" w:cs="宋体"/>
          <w:color w:val="auto"/>
          <w:highlight w:val="none"/>
        </w:rPr>
      </w:pPr>
    </w:p>
    <w:p>
      <w:pPr>
        <w:pStyle w:val="97"/>
        <w:snapToGrid w:val="0"/>
        <w:spacing w:line="300" w:lineRule="auto"/>
        <w:ind w:firstLine="480" w:firstLineChars="200"/>
        <w:contextualSpacing/>
        <w:rPr>
          <w:rFonts w:hint="eastAsia" w:ascii="宋体" w:hAnsi="宋体" w:eastAsia="宋体" w:cs="宋体"/>
          <w:color w:val="auto"/>
          <w:highlight w:val="none"/>
        </w:rPr>
      </w:pPr>
    </w:p>
    <w:p>
      <w:pPr>
        <w:tabs>
          <w:tab w:val="left" w:pos="7740"/>
        </w:tabs>
        <w:spacing w:line="500" w:lineRule="exact"/>
        <w:jc w:val="center"/>
        <w:rPr>
          <w:rFonts w:hint="eastAsia" w:ascii="宋体" w:hAnsi="宋体" w:eastAsia="宋体" w:cs="宋体"/>
          <w:bCs/>
          <w:color w:val="auto"/>
          <w:sz w:val="44"/>
          <w:highlight w:val="none"/>
        </w:rPr>
      </w:pPr>
      <w:r>
        <w:rPr>
          <w:rFonts w:hint="eastAsia" w:ascii="宋体" w:hAnsi="宋体" w:eastAsia="宋体" w:cs="宋体"/>
          <w:bCs/>
          <w:color w:val="auto"/>
          <w:sz w:val="44"/>
          <w:highlight w:val="none"/>
        </w:rPr>
        <w:t>第七部分  投标</w:t>
      </w:r>
      <w:bookmarkEnd w:id="150"/>
      <w:bookmarkEnd w:id="151"/>
      <w:bookmarkEnd w:id="162"/>
      <w:r>
        <w:rPr>
          <w:rFonts w:hint="eastAsia" w:ascii="宋体" w:hAnsi="宋体" w:eastAsia="宋体" w:cs="宋体"/>
          <w:bCs/>
          <w:color w:val="auto"/>
          <w:sz w:val="44"/>
          <w:highlight w:val="none"/>
        </w:rPr>
        <w:t xml:space="preserve">文件格式 </w:t>
      </w:r>
    </w:p>
    <w:p>
      <w:pPr>
        <w:jc w:val="center"/>
        <w:rPr>
          <w:rFonts w:hint="eastAsia" w:ascii="宋体" w:hAnsi="宋体" w:eastAsia="宋体" w:cs="宋体"/>
          <w:b/>
          <w:color w:val="auto"/>
          <w:sz w:val="72"/>
          <w:highlight w:val="none"/>
        </w:rPr>
      </w:pPr>
      <w:bookmarkStart w:id="163" w:name="_Hlt26671244"/>
      <w:bookmarkEnd w:id="163"/>
      <w:bookmarkStart w:id="164" w:name="_Hlt26955039"/>
      <w:bookmarkEnd w:id="164"/>
      <w:bookmarkStart w:id="165" w:name="_Toc120614282"/>
      <w:bookmarkStart w:id="166" w:name="_Toc49090576"/>
      <w:bookmarkStart w:id="167" w:name="_Toc26554094"/>
    </w:p>
    <w:p>
      <w:pPr>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  标  文  件</w:t>
      </w:r>
    </w:p>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（资信/价格标）</w:t>
      </w:r>
    </w:p>
    <w:p>
      <w:pPr>
        <w:jc w:val="center"/>
        <w:rPr>
          <w:rFonts w:hint="eastAsia" w:ascii="宋体" w:hAnsi="宋体" w:eastAsia="宋体" w:cs="宋体"/>
          <w:b/>
          <w:color w:val="auto"/>
          <w:sz w:val="36"/>
          <w:highlight w:val="none"/>
        </w:rPr>
      </w:pPr>
    </w:p>
    <w:p>
      <w:pPr>
        <w:jc w:val="center"/>
        <w:rPr>
          <w:rFonts w:hint="eastAsia" w:ascii="宋体" w:hAnsi="宋体" w:eastAsia="宋体" w:cs="宋体"/>
          <w:b/>
          <w:color w:val="auto"/>
          <w:sz w:val="36"/>
          <w:highlight w:val="none"/>
        </w:rPr>
      </w:pPr>
    </w:p>
    <w:p>
      <w:pPr>
        <w:jc w:val="center"/>
        <w:rPr>
          <w:rFonts w:hint="eastAsia" w:ascii="宋体" w:hAnsi="宋体" w:eastAsia="宋体" w:cs="宋体"/>
          <w:b/>
          <w:color w:val="auto"/>
          <w:sz w:val="36"/>
          <w:highlight w:val="none"/>
        </w:rPr>
      </w:pPr>
    </w:p>
    <w:p>
      <w:pPr>
        <w:ind w:firstLine="1800" w:firstLineChars="500"/>
        <w:rPr>
          <w:rFonts w:hint="eastAsia" w:ascii="宋体" w:hAnsi="宋体" w:eastAsia="宋体" w:cs="宋体"/>
          <w:color w:val="auto"/>
          <w:sz w:val="36"/>
          <w:highlight w:val="none"/>
        </w:rPr>
      </w:pPr>
      <w:r>
        <w:rPr>
          <w:rFonts w:hint="eastAsia" w:ascii="宋体" w:hAnsi="宋体" w:eastAsia="宋体" w:cs="宋体"/>
          <w:color w:val="auto"/>
          <w:sz w:val="36"/>
          <w:highlight w:val="none"/>
        </w:rPr>
        <w:t>项 目 名 称：</w:t>
      </w:r>
      <w:r>
        <w:rPr>
          <w:rFonts w:hint="eastAsia" w:ascii="宋体" w:hAnsi="宋体" w:eastAsia="宋体" w:cs="宋体"/>
          <w:color w:val="auto"/>
          <w:sz w:val="36"/>
          <w:highlight w:val="none"/>
          <w:u w:val="single"/>
        </w:rPr>
        <w:t xml:space="preserve">               </w:t>
      </w:r>
    </w:p>
    <w:p>
      <w:pPr>
        <w:ind w:firstLine="1800" w:firstLineChars="500"/>
        <w:rPr>
          <w:rFonts w:hint="eastAsia" w:ascii="宋体" w:hAnsi="宋体" w:eastAsia="宋体" w:cs="宋体"/>
          <w:color w:val="auto"/>
          <w:sz w:val="36"/>
          <w:highlight w:val="none"/>
          <w:u w:val="single"/>
        </w:rPr>
      </w:pPr>
      <w:r>
        <w:rPr>
          <w:rFonts w:hint="eastAsia" w:ascii="宋体" w:hAnsi="宋体" w:eastAsia="宋体" w:cs="宋体"/>
          <w:color w:val="auto"/>
          <w:sz w:val="36"/>
          <w:highlight w:val="none"/>
        </w:rPr>
        <w:t>招 标 编 号：</w:t>
      </w:r>
      <w:r>
        <w:rPr>
          <w:rFonts w:hint="eastAsia" w:ascii="宋体" w:hAnsi="宋体" w:eastAsia="宋体" w:cs="宋体"/>
          <w:color w:val="auto"/>
          <w:sz w:val="36"/>
          <w:highlight w:val="none"/>
          <w:u w:val="single"/>
        </w:rPr>
        <w:t xml:space="preserve">               </w:t>
      </w:r>
    </w:p>
    <w:p>
      <w:pPr>
        <w:ind w:firstLine="1800" w:firstLineChars="500"/>
        <w:rPr>
          <w:rFonts w:hint="eastAsia" w:ascii="宋体" w:hAnsi="宋体" w:eastAsia="宋体" w:cs="宋体"/>
          <w:color w:val="auto"/>
          <w:sz w:val="36"/>
          <w:highlight w:val="none"/>
        </w:rPr>
      </w:pPr>
      <w:r>
        <w:rPr>
          <w:rFonts w:hint="eastAsia" w:ascii="宋体" w:hAnsi="宋体" w:eastAsia="宋体" w:cs="宋体"/>
          <w:color w:val="auto"/>
          <w:sz w:val="36"/>
          <w:highlight w:val="none"/>
        </w:rPr>
        <w:t>标 段 编 号：</w:t>
      </w:r>
      <w:r>
        <w:rPr>
          <w:rFonts w:hint="eastAsia" w:ascii="宋体" w:hAnsi="宋体" w:eastAsia="宋体" w:cs="宋体"/>
          <w:color w:val="auto"/>
          <w:sz w:val="36"/>
          <w:highlight w:val="none"/>
          <w:u w:val="single"/>
        </w:rPr>
        <w:t xml:space="preserve">               </w:t>
      </w:r>
    </w:p>
    <w:p>
      <w:pPr>
        <w:rPr>
          <w:rFonts w:hint="eastAsia" w:ascii="宋体" w:hAnsi="宋体" w:eastAsia="宋体" w:cs="宋体"/>
          <w:color w:val="auto"/>
          <w:sz w:val="36"/>
          <w:highlight w:val="none"/>
          <w:u w:val="single"/>
        </w:rPr>
      </w:pPr>
      <w:r>
        <w:rPr>
          <w:rFonts w:hint="eastAsia" w:ascii="宋体" w:hAnsi="宋体" w:eastAsia="宋体" w:cs="宋体"/>
          <w:color w:val="auto"/>
          <w:sz w:val="36"/>
          <w:highlight w:val="none"/>
        </w:rPr>
        <w:t xml:space="preserve">          投标人名称 ：</w:t>
      </w:r>
      <w:r>
        <w:rPr>
          <w:rFonts w:hint="eastAsia" w:ascii="宋体" w:hAnsi="宋体" w:eastAsia="宋体" w:cs="宋体"/>
          <w:color w:val="auto"/>
          <w:sz w:val="36"/>
          <w:highlight w:val="none"/>
          <w:u w:val="single"/>
        </w:rPr>
        <w:t xml:space="preserve">               </w:t>
      </w:r>
    </w:p>
    <w:p>
      <w:pPr>
        <w:rPr>
          <w:rFonts w:hint="eastAsia" w:ascii="宋体" w:hAnsi="宋体" w:eastAsia="宋体" w:cs="宋体"/>
          <w:color w:val="auto"/>
          <w:sz w:val="36"/>
          <w:highlight w:val="none"/>
        </w:rPr>
      </w:pPr>
      <w:r>
        <w:rPr>
          <w:rFonts w:hint="eastAsia" w:ascii="宋体" w:hAnsi="宋体" w:eastAsia="宋体" w:cs="宋体"/>
          <w:color w:val="auto"/>
          <w:sz w:val="36"/>
          <w:highlight w:val="none"/>
        </w:rPr>
        <w:t xml:space="preserve">          日      期 ：</w:t>
      </w:r>
      <w:r>
        <w:rPr>
          <w:rFonts w:hint="eastAsia" w:ascii="宋体" w:hAnsi="宋体" w:eastAsia="宋体" w:cs="宋体"/>
          <w:color w:val="auto"/>
          <w:sz w:val="36"/>
          <w:highlight w:val="none"/>
          <w:u w:val="single"/>
        </w:rPr>
        <w:t xml:space="preserve">               </w:t>
      </w:r>
    </w:p>
    <w:p>
      <w:pPr>
        <w:spacing w:line="440" w:lineRule="exact"/>
        <w:jc w:val="center"/>
        <w:rPr>
          <w:rFonts w:hint="eastAsia" w:ascii="宋体" w:hAnsi="宋体" w:eastAsia="宋体" w:cs="宋体"/>
          <w:b/>
          <w:bCs/>
          <w:color w:val="auto"/>
          <w:sz w:val="32"/>
          <w:szCs w:val="32"/>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p>
    <w:bookmarkEnd w:id="165"/>
    <w:bookmarkEnd w:id="166"/>
    <w:bookmarkEnd w:id="167"/>
    <w:p>
      <w:pPr>
        <w:snapToGrid w:val="0"/>
        <w:spacing w:before="468" w:beforeLines="150" w:after="156" w:afterLines="50" w:line="420" w:lineRule="exact"/>
        <w:jc w:val="center"/>
        <w:outlineLvl w:val="4"/>
        <w:rPr>
          <w:rFonts w:hint="eastAsia" w:ascii="宋体" w:hAnsi="宋体" w:eastAsia="宋体" w:cs="宋体"/>
          <w:b/>
          <w:color w:val="auto"/>
          <w:sz w:val="36"/>
          <w:szCs w:val="36"/>
          <w:highlight w:val="none"/>
        </w:rPr>
      </w:pPr>
      <w:bookmarkStart w:id="168" w:name="_Toc120614284"/>
      <w:r>
        <w:rPr>
          <w:rFonts w:hint="eastAsia" w:ascii="宋体" w:hAnsi="宋体" w:eastAsia="宋体" w:cs="宋体"/>
          <w:b/>
          <w:color w:val="auto"/>
          <w:sz w:val="36"/>
          <w:szCs w:val="36"/>
          <w:highlight w:val="none"/>
        </w:rPr>
        <w:t>关于资格文件的声明函</w:t>
      </w:r>
    </w:p>
    <w:p>
      <w:pPr>
        <w:spacing w:line="56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南通市殡仪馆：</w:t>
      </w:r>
    </w:p>
    <w:p>
      <w:pPr>
        <w:overflowPunct w:val="0"/>
        <w:adjustRightInd w:val="0"/>
        <w:spacing w:line="360" w:lineRule="auto"/>
        <w:ind w:firstLine="560" w:firstLineChars="200"/>
        <w:jc w:val="left"/>
        <w:textAlignment w:val="baseline"/>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本公司愿就由贵单位组织实施的</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（招标项目名称及项目编号)的招标活动进行投标。本公司所提交的投标文件中所有关于投标资格的文件、证明和陈述均是真实的、准确的。若与真实情况不符，本公司愿意承担由此而产生的一切后果。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eastAsia" w:ascii="宋体" w:hAnsi="宋体" w:eastAsia="宋体" w:cs="宋体"/>
          <w:bCs/>
          <w:color w:val="auto"/>
          <w:sz w:val="28"/>
          <w:szCs w:val="28"/>
          <w:highlight w:val="none"/>
        </w:rPr>
      </w:pPr>
    </w:p>
    <w:p>
      <w:pPr>
        <w:snapToGrid w:val="0"/>
        <w:spacing w:line="520" w:lineRule="exact"/>
        <w:ind w:firstLine="3220" w:firstLineChars="115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投标单位： （加盖公章）</w:t>
      </w:r>
    </w:p>
    <w:p>
      <w:pPr>
        <w:snapToGrid w:val="0"/>
        <w:spacing w:line="520" w:lineRule="exact"/>
        <w:ind w:right="640" w:firstLine="2800" w:firstLineChars="100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法定代表人或被授权人：</w:t>
      </w:r>
    </w:p>
    <w:p>
      <w:pPr>
        <w:snapToGrid w:val="0"/>
        <w:spacing w:line="520" w:lineRule="exact"/>
        <w:ind w:right="640" w:firstLine="2800" w:firstLineChars="100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（签字或盖章）</w:t>
      </w:r>
    </w:p>
    <w:p>
      <w:pPr>
        <w:snapToGrid w:val="0"/>
        <w:spacing w:line="520" w:lineRule="exact"/>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二○二三年   月  日</w:t>
      </w: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6"/>
        <w:spacing w:before="0" w:after="0" w:line="566" w:lineRule="exact"/>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具备履行合同所必需的设备和专业技术能力的书面声明</w:t>
      </w: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spacing w:line="566" w:lineRule="exact"/>
        <w:ind w:firstLine="49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我单位郑重声明：我单位具备履行本项采购合同所必需的设备和专业技术能力，为履行本项采购合同我公司具备如下主要设备和主要专业技术能力：</w:t>
      </w:r>
    </w:p>
    <w:p>
      <w:pPr>
        <w:spacing w:line="566" w:lineRule="exact"/>
        <w:ind w:firstLine="49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主要设备有：</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w:t>
      </w:r>
    </w:p>
    <w:p>
      <w:pPr>
        <w:spacing w:line="566" w:lineRule="exact"/>
        <w:ind w:firstLine="49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主要专业技术能力有：</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w:t>
      </w:r>
    </w:p>
    <w:p>
      <w:pPr>
        <w:pStyle w:val="5"/>
        <w:rPr>
          <w:rFonts w:hint="eastAsia" w:ascii="宋体" w:hAnsi="宋体" w:eastAsia="宋体" w:cs="宋体"/>
          <w:color w:val="auto"/>
          <w:sz w:val="28"/>
          <w:szCs w:val="28"/>
          <w:highlight w:val="none"/>
        </w:rPr>
      </w:pPr>
    </w:p>
    <w:p>
      <w:pPr>
        <w:pStyle w:val="5"/>
        <w:rPr>
          <w:rFonts w:hint="eastAsia" w:ascii="宋体" w:hAnsi="宋体" w:eastAsia="宋体" w:cs="宋体"/>
          <w:color w:val="auto"/>
          <w:sz w:val="28"/>
          <w:szCs w:val="28"/>
          <w:highlight w:val="none"/>
        </w:rPr>
      </w:pPr>
    </w:p>
    <w:p>
      <w:pPr>
        <w:pStyle w:val="5"/>
        <w:rPr>
          <w:rFonts w:hint="eastAsia" w:ascii="宋体" w:hAnsi="宋体" w:eastAsia="宋体" w:cs="宋体"/>
          <w:color w:val="auto"/>
          <w:sz w:val="28"/>
          <w:szCs w:val="28"/>
          <w:highlight w:val="none"/>
        </w:rPr>
      </w:pPr>
    </w:p>
    <w:p>
      <w:pPr>
        <w:pStyle w:val="5"/>
        <w:rPr>
          <w:rFonts w:hint="eastAsia" w:ascii="宋体" w:hAnsi="宋体" w:eastAsia="宋体" w:cs="宋体"/>
          <w:color w:val="auto"/>
          <w:sz w:val="28"/>
          <w:szCs w:val="28"/>
          <w:highlight w:val="none"/>
        </w:rPr>
      </w:pPr>
    </w:p>
    <w:p>
      <w:pPr>
        <w:pStyle w:val="5"/>
        <w:rPr>
          <w:rFonts w:hint="eastAsia" w:ascii="宋体" w:hAnsi="宋体" w:eastAsia="宋体" w:cs="宋体"/>
          <w:color w:val="auto"/>
          <w:sz w:val="28"/>
          <w:szCs w:val="28"/>
          <w:highlight w:val="none"/>
        </w:rPr>
      </w:pPr>
    </w:p>
    <w:p>
      <w:pPr>
        <w:pStyle w:val="5"/>
        <w:rPr>
          <w:rFonts w:hint="eastAsia" w:ascii="宋体" w:hAnsi="宋体" w:eastAsia="宋体" w:cs="宋体"/>
          <w:color w:val="auto"/>
          <w:sz w:val="28"/>
          <w:szCs w:val="28"/>
          <w:highlight w:val="none"/>
        </w:rPr>
      </w:pPr>
    </w:p>
    <w:p>
      <w:pPr>
        <w:spacing w:line="566" w:lineRule="exact"/>
        <w:ind w:firstLine="2520" w:firstLineChars="9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企业名称(盖章)：</w:t>
      </w:r>
    </w:p>
    <w:p>
      <w:pPr>
        <w:spacing w:line="566"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法定代表人或授权委托人（签字或盖章）</w:t>
      </w:r>
    </w:p>
    <w:p>
      <w:pPr>
        <w:spacing w:line="566" w:lineRule="exact"/>
        <w:ind w:firstLine="3500" w:firstLineChars="12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  期：</w:t>
      </w:r>
    </w:p>
    <w:p>
      <w:pPr>
        <w:pStyle w:val="5"/>
        <w:rPr>
          <w:rFonts w:hint="eastAsia" w:ascii="宋体" w:hAnsi="宋体" w:eastAsia="宋体" w:cs="宋体"/>
          <w:color w:val="auto"/>
          <w:sz w:val="28"/>
          <w:szCs w:val="28"/>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78"/>
        <w:spacing w:line="566" w:lineRule="exact"/>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法定代表人身份证明</w:t>
      </w:r>
    </w:p>
    <w:p>
      <w:pPr>
        <w:snapToGrid w:val="0"/>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（法定代表人参加投标，须出示此证明）</w:t>
      </w:r>
    </w:p>
    <w:p>
      <w:pPr>
        <w:snapToGrid w:val="0"/>
        <w:spacing w:line="520" w:lineRule="exact"/>
        <w:jc w:val="center"/>
        <w:rPr>
          <w:rFonts w:hint="eastAsia" w:ascii="宋体" w:hAnsi="宋体" w:eastAsia="宋体" w:cs="宋体"/>
          <w:color w:val="auto"/>
          <w:sz w:val="24"/>
          <w:highlight w:val="none"/>
        </w:rPr>
      </w:pPr>
    </w:p>
    <w:p>
      <w:pPr>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南通市殡仪馆</w:t>
      </w:r>
      <w:r>
        <w:rPr>
          <w:rFonts w:hint="eastAsia" w:ascii="宋体" w:hAnsi="宋体" w:eastAsia="宋体" w:cs="宋体"/>
          <w:color w:val="auto"/>
          <w:sz w:val="28"/>
          <w:szCs w:val="28"/>
          <w:highlight w:val="none"/>
        </w:rPr>
        <w:t>：</w:t>
      </w:r>
    </w:p>
    <w:p>
      <w:pPr>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参加贵单位组织的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（项目名称)项目的招投标事项，全权代表我公司处理该项目招标投标的有关事宜。</w:t>
      </w:r>
    </w:p>
    <w:p>
      <w:pPr>
        <w:snapToGrid w:val="0"/>
        <w:spacing w:line="520" w:lineRule="exact"/>
        <w:rPr>
          <w:rFonts w:hint="eastAsia" w:ascii="宋体" w:hAnsi="宋体" w:eastAsia="宋体" w:cs="宋体"/>
          <w:color w:val="auto"/>
          <w:sz w:val="28"/>
          <w:szCs w:val="28"/>
          <w:highlight w:val="none"/>
        </w:rPr>
      </w:pPr>
    </w:p>
    <w:p>
      <w:pPr>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附：法定代表人情况：</w:t>
      </w:r>
    </w:p>
    <w:p>
      <w:pPr>
        <w:snapToGrid w:val="0"/>
        <w:spacing w:line="52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p>
    <w:p>
      <w:pPr>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p>
    <w:p>
      <w:pPr>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手机：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snapToGrid w:val="0"/>
        <w:spacing w:line="520" w:lineRule="exact"/>
        <w:rPr>
          <w:rFonts w:hint="eastAsia" w:ascii="宋体" w:hAnsi="宋体" w:eastAsia="宋体" w:cs="宋体"/>
          <w:color w:val="auto"/>
          <w:sz w:val="28"/>
          <w:szCs w:val="28"/>
          <w:highlight w:val="none"/>
        </w:rPr>
      </w:pPr>
    </w:p>
    <w:p>
      <w:pPr>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单位名称（公章）             法定代表人（签字或盖章）</w:t>
      </w:r>
    </w:p>
    <w:p>
      <w:pPr>
        <w:snapToGrid w:val="0"/>
        <w:spacing w:line="520" w:lineRule="exact"/>
        <w:ind w:firstLine="1400" w:firstLineChars="5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  </w:t>
      </w:r>
    </w:p>
    <w:p>
      <w:pPr>
        <w:snapToGrid w:val="0"/>
        <w:spacing w:line="520" w:lineRule="exact"/>
        <w:rPr>
          <w:rFonts w:hint="eastAsia" w:ascii="宋体" w:hAnsi="宋体" w:eastAsia="宋体" w:cs="宋体"/>
          <w:color w:val="auto"/>
          <w:sz w:val="28"/>
          <w:szCs w:val="28"/>
          <w:highlight w:val="none"/>
        </w:rPr>
      </w:pPr>
    </w:p>
    <w:p>
      <w:pPr>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法定代表人身份证复印件</w:t>
      </w:r>
    </w:p>
    <w:p>
      <w:pPr>
        <w:snapToGrid w:val="0"/>
        <w:spacing w:line="520" w:lineRule="exact"/>
        <w:rPr>
          <w:rFonts w:hint="eastAsia" w:ascii="宋体" w:hAnsi="宋体" w:eastAsia="宋体" w:cs="宋体"/>
          <w:color w:val="auto"/>
          <w:sz w:val="28"/>
          <w:szCs w:val="28"/>
          <w:highlight w:val="none"/>
        </w:rPr>
      </w:pPr>
    </w:p>
    <w:p>
      <w:pPr>
        <w:snapToGrid w:val="0"/>
        <w:spacing w:line="520" w:lineRule="exact"/>
        <w:rPr>
          <w:rFonts w:hint="eastAsia" w:ascii="宋体" w:hAnsi="宋体" w:eastAsia="宋体" w:cs="宋体"/>
          <w:color w:val="auto"/>
          <w:sz w:val="28"/>
          <w:szCs w:val="28"/>
          <w:highlight w:val="none"/>
        </w:rPr>
      </w:pPr>
    </w:p>
    <w:p>
      <w:pPr>
        <w:snapToGrid w:val="0"/>
        <w:spacing w:line="520" w:lineRule="exact"/>
        <w:ind w:firstLine="2660" w:firstLineChars="9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（粘贴此处）</w:t>
      </w: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78"/>
        <w:spacing w:line="566" w:lineRule="exact"/>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授  权  书</w:t>
      </w:r>
    </w:p>
    <w:p>
      <w:pPr>
        <w:pStyle w:val="78"/>
        <w:spacing w:line="566" w:lineRule="exact"/>
        <w:ind w:firstLine="0" w:firstLineChars="0"/>
        <w:jc w:val="center"/>
        <w:rPr>
          <w:rFonts w:hint="eastAsia" w:ascii="宋体" w:hAnsi="宋体" w:eastAsia="宋体" w:cs="宋体"/>
          <w:b/>
          <w:color w:val="auto"/>
          <w:sz w:val="32"/>
          <w:szCs w:val="32"/>
          <w:highlight w:val="none"/>
        </w:rPr>
      </w:pPr>
    </w:p>
    <w:p>
      <w:pPr>
        <w:pStyle w:val="78"/>
        <w:spacing w:line="566" w:lineRule="exact"/>
        <w:ind w:firstLine="560"/>
        <w:rPr>
          <w:rFonts w:hint="eastAsia" w:ascii="宋体" w:hAnsi="宋体" w:eastAsia="宋体" w:cs="宋体"/>
          <w:color w:val="auto"/>
          <w:szCs w:val="28"/>
          <w:highlight w:val="none"/>
        </w:rPr>
      </w:pPr>
      <w:r>
        <w:rPr>
          <w:rFonts w:hint="eastAsia" w:ascii="宋体" w:hAnsi="宋体" w:eastAsia="宋体" w:cs="宋体"/>
          <w:color w:val="auto"/>
          <w:szCs w:val="28"/>
          <w:highlight w:val="none"/>
        </w:rPr>
        <w:t>本授权书声明：____________（投标人名称）授权________________（被授权人的姓名）为我方就</w:t>
      </w:r>
      <w:r>
        <w:rPr>
          <w:rFonts w:hint="eastAsia" w:ascii="宋体" w:hAnsi="宋体" w:eastAsia="宋体" w:cs="宋体"/>
          <w:color w:val="auto"/>
          <w:szCs w:val="28"/>
          <w:highlight w:val="none"/>
          <w:shd w:val="clear" w:color="auto" w:fill="FFFFFF"/>
        </w:rPr>
        <w:t xml:space="preserve">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号项目采购活动的合法代理人，以本单位名义全权处理一切与该项目采购有关的事务。</w:t>
      </w:r>
    </w:p>
    <w:p>
      <w:pPr>
        <w:pStyle w:val="78"/>
        <w:spacing w:line="566" w:lineRule="exact"/>
        <w:ind w:firstLine="560"/>
        <w:rPr>
          <w:rFonts w:hint="eastAsia" w:ascii="宋体" w:hAnsi="宋体" w:eastAsia="宋体" w:cs="宋体"/>
          <w:color w:val="auto"/>
          <w:szCs w:val="28"/>
          <w:highlight w:val="none"/>
        </w:rPr>
      </w:pPr>
      <w:r>
        <w:rPr>
          <w:rFonts w:hint="eastAsia" w:ascii="宋体" w:hAnsi="宋体" w:eastAsia="宋体" w:cs="宋体"/>
          <w:color w:val="auto"/>
          <w:szCs w:val="28"/>
          <w:highlight w:val="none"/>
        </w:rPr>
        <w:t>本授权书于______年____月____日起生效，特此声明。</w:t>
      </w:r>
    </w:p>
    <w:p>
      <w:pPr>
        <w:pStyle w:val="78"/>
        <w:spacing w:line="566" w:lineRule="exact"/>
        <w:ind w:firstLine="0" w:firstLineChars="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代理人（被授权人）签字：_______________________</w:t>
      </w:r>
    </w:p>
    <w:p>
      <w:pPr>
        <w:pStyle w:val="78"/>
        <w:spacing w:line="566" w:lineRule="exact"/>
        <w:ind w:firstLine="0" w:firstLineChars="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 xml:space="preserve">    身份证号码：</w:t>
      </w:r>
      <w:r>
        <w:rPr>
          <w:rFonts w:hint="eastAsia" w:ascii="宋体" w:hAnsi="宋体" w:eastAsia="宋体" w:cs="宋体"/>
          <w:color w:val="auto"/>
          <w:szCs w:val="28"/>
          <w:highlight w:val="none"/>
          <w:u w:val="single"/>
        </w:rPr>
        <w:t xml:space="preserve">                              </w:t>
      </w:r>
    </w:p>
    <w:p>
      <w:pPr>
        <w:pStyle w:val="78"/>
        <w:spacing w:line="566" w:lineRule="exact"/>
        <w:ind w:firstLine="0" w:firstLineChars="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 xml:space="preserve">    联系电话：（手机）</w:t>
      </w:r>
      <w:r>
        <w:rPr>
          <w:rFonts w:hint="eastAsia" w:ascii="宋体" w:hAnsi="宋体" w:eastAsia="宋体" w:cs="宋体"/>
          <w:color w:val="auto"/>
          <w:szCs w:val="28"/>
          <w:highlight w:val="none"/>
          <w:u w:val="single"/>
        </w:rPr>
        <w:t xml:space="preserve">                          </w:t>
      </w:r>
    </w:p>
    <w:p>
      <w:pPr>
        <w:pStyle w:val="78"/>
        <w:spacing w:line="566" w:lineRule="exact"/>
        <w:ind w:firstLine="560"/>
        <w:rPr>
          <w:rFonts w:hint="eastAsia" w:ascii="宋体" w:hAnsi="宋体" w:eastAsia="宋体" w:cs="宋体"/>
          <w:color w:val="auto"/>
          <w:szCs w:val="28"/>
          <w:highlight w:val="none"/>
        </w:rPr>
      </w:pPr>
      <w:r>
        <w:rPr>
          <w:rFonts w:hint="eastAsia" w:ascii="宋体" w:hAnsi="宋体" w:eastAsia="宋体" w:cs="宋体"/>
          <w:color w:val="auto"/>
          <w:szCs w:val="28"/>
          <w:highlight w:val="none"/>
        </w:rPr>
        <w:t>单位名称：_____________________________________</w:t>
      </w:r>
    </w:p>
    <w:p>
      <w:pPr>
        <w:pStyle w:val="78"/>
        <w:spacing w:line="566" w:lineRule="exact"/>
        <w:ind w:firstLine="630" w:firstLineChars="0"/>
        <w:rPr>
          <w:rFonts w:hint="eastAsia" w:ascii="宋体" w:hAnsi="宋体" w:eastAsia="宋体" w:cs="宋体"/>
          <w:color w:val="auto"/>
          <w:szCs w:val="28"/>
          <w:highlight w:val="none"/>
        </w:rPr>
      </w:pPr>
      <w:r>
        <w:rPr>
          <w:rFonts w:hint="eastAsia" w:ascii="宋体" w:hAnsi="宋体" w:eastAsia="宋体" w:cs="宋体"/>
          <w:color w:val="auto"/>
          <w:szCs w:val="28"/>
          <w:highlight w:val="none"/>
        </w:rPr>
        <w:t>授权单位（公章）：________________</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_</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p>
    <w:p>
      <w:pPr>
        <w:pStyle w:val="78"/>
        <w:spacing w:line="566" w:lineRule="exact"/>
        <w:ind w:firstLine="630" w:firstLineChars="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法定代表人（签字或盖章） </w:t>
      </w:r>
      <w:r>
        <w:rPr>
          <w:rFonts w:hint="eastAsia" w:ascii="宋体" w:hAnsi="宋体" w:eastAsia="宋体" w:cs="宋体"/>
          <w:color w:val="auto"/>
          <w:szCs w:val="28"/>
          <w:highlight w:val="none"/>
          <w:u w:val="single"/>
        </w:rPr>
        <w:t xml:space="preserve">                     </w:t>
      </w:r>
    </w:p>
    <w:p>
      <w:pPr>
        <w:pStyle w:val="78"/>
        <w:spacing w:line="566" w:lineRule="exact"/>
        <w:ind w:firstLine="56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单位地址：</w:t>
      </w:r>
      <w:r>
        <w:rPr>
          <w:rFonts w:hint="eastAsia" w:ascii="宋体" w:hAnsi="宋体" w:eastAsia="宋体" w:cs="宋体"/>
          <w:color w:val="auto"/>
          <w:szCs w:val="28"/>
          <w:highlight w:val="none"/>
          <w:u w:val="single"/>
        </w:rPr>
        <w:t xml:space="preserve">                                     </w:t>
      </w:r>
    </w:p>
    <w:p>
      <w:pPr>
        <w:pStyle w:val="78"/>
        <w:spacing w:line="566" w:lineRule="exact"/>
        <w:ind w:firstLine="560"/>
        <w:rPr>
          <w:rFonts w:hint="eastAsia" w:ascii="宋体" w:hAnsi="宋体" w:eastAsia="宋体" w:cs="宋体"/>
          <w:color w:val="auto"/>
          <w:szCs w:val="28"/>
          <w:highlight w:val="none"/>
        </w:rPr>
      </w:pPr>
      <w:r>
        <w:rPr>
          <w:rFonts w:hint="eastAsia" w:ascii="宋体" w:hAnsi="宋体" w:eastAsia="宋体" w:cs="宋体"/>
          <w:color w:val="auto"/>
          <w:szCs w:val="28"/>
          <w:highlight w:val="none"/>
        </w:rPr>
        <w:t>日期：</w:t>
      </w:r>
      <w:bookmarkStart w:id="169" w:name="_格式3__银行出具的资信证明"/>
      <w:bookmarkEnd w:id="169"/>
      <w:r>
        <w:rPr>
          <w:rFonts w:hint="eastAsia" w:ascii="宋体" w:hAnsi="宋体" w:eastAsia="宋体" w:cs="宋体"/>
          <w:color w:val="auto"/>
          <w:szCs w:val="28"/>
          <w:highlight w:val="none"/>
          <w:u w:val="single"/>
        </w:rPr>
        <w:t xml:space="preserve">                                         </w:t>
      </w: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spacing w:line="566" w:lineRule="exact"/>
        <w:rPr>
          <w:rFonts w:hint="eastAsia" w:ascii="宋体" w:hAnsi="宋体" w:eastAsia="宋体" w:cs="宋体"/>
          <w:color w:val="auto"/>
          <w:sz w:val="32"/>
          <w:szCs w:val="32"/>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固废回收处理承诺书</w:t>
      </w:r>
    </w:p>
    <w:p>
      <w:pPr>
        <w:rPr>
          <w:rFonts w:hint="eastAsia" w:ascii="宋体" w:hAnsi="宋体" w:eastAsia="宋体" w:cs="宋体"/>
          <w:color w:val="auto"/>
          <w:sz w:val="32"/>
          <w:szCs w:val="32"/>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南通市殡仪馆：</w:t>
      </w:r>
    </w:p>
    <w:p>
      <w:pPr>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我单位如中标</w:t>
      </w:r>
      <w:r>
        <w:rPr>
          <w:rFonts w:hint="eastAsia" w:ascii="宋体" w:hAnsi="宋体" w:eastAsia="宋体" w:cs="宋体"/>
          <w:snapToGrid w:val="0"/>
          <w:color w:val="auto"/>
          <w:sz w:val="28"/>
          <w:szCs w:val="28"/>
          <w:highlight w:val="none"/>
          <w:u w:val="single"/>
        </w:rPr>
        <w:t>南通市殡仪馆拣灰炉寿毯采购项目</w:t>
      </w:r>
      <w:r>
        <w:rPr>
          <w:rFonts w:hint="eastAsia" w:ascii="宋体" w:hAnsi="宋体" w:eastAsia="宋体" w:cs="宋体"/>
          <w:color w:val="auto"/>
          <w:sz w:val="28"/>
          <w:szCs w:val="28"/>
          <w:highlight w:val="none"/>
        </w:rPr>
        <w:t>，承诺按照国家相关环保要求处理回收已使用过的寿毯。如未按相关要求处理的，责任由我方承担，</w:t>
      </w:r>
      <w:r>
        <w:rPr>
          <w:rFonts w:hint="eastAsia" w:ascii="宋体" w:hAnsi="宋体" w:eastAsia="宋体" w:cs="宋体"/>
          <w:color w:val="auto"/>
          <w:kern w:val="0"/>
          <w:sz w:val="28"/>
          <w:szCs w:val="28"/>
          <w:highlight w:val="none"/>
        </w:rPr>
        <w:t>与你单位无任何关联。</w:t>
      </w:r>
    </w:p>
    <w:p>
      <w:pPr>
        <w:ind w:firstLine="560" w:firstLineChars="200"/>
        <w:rPr>
          <w:rFonts w:hint="eastAsia" w:ascii="宋体" w:hAnsi="宋体" w:eastAsia="宋体" w:cs="宋体"/>
          <w:color w:val="auto"/>
          <w:kern w:val="0"/>
          <w:sz w:val="28"/>
          <w:szCs w:val="28"/>
          <w:highlight w:val="none"/>
        </w:rPr>
      </w:pPr>
    </w:p>
    <w:p>
      <w:pPr>
        <w:ind w:firstLine="560" w:firstLineChars="200"/>
        <w:rPr>
          <w:rFonts w:hint="eastAsia" w:ascii="宋体" w:hAnsi="宋体" w:eastAsia="宋体" w:cs="宋体"/>
          <w:color w:val="auto"/>
          <w:kern w:val="0"/>
          <w:sz w:val="28"/>
          <w:szCs w:val="28"/>
          <w:highlight w:val="none"/>
        </w:rPr>
      </w:pPr>
    </w:p>
    <w:p>
      <w:pPr>
        <w:ind w:firstLine="4200" w:firstLineChars="15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承诺单位（盖章）：</w:t>
      </w:r>
    </w:p>
    <w:p>
      <w:pPr>
        <w:ind w:firstLine="4200" w:firstLineChars="15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法人签字：</w:t>
      </w:r>
    </w:p>
    <w:p>
      <w:pPr>
        <w:ind w:firstLine="5040" w:firstLineChars="18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ind w:firstLine="5040" w:firstLineChars="1800"/>
        <w:rPr>
          <w:rFonts w:hint="eastAsia" w:ascii="宋体" w:hAnsi="宋体" w:eastAsia="宋体" w:cs="宋体"/>
          <w:color w:val="auto"/>
          <w:kern w:val="0"/>
          <w:sz w:val="28"/>
          <w:szCs w:val="28"/>
          <w:highlight w:val="none"/>
        </w:rPr>
      </w:pPr>
    </w:p>
    <w:p>
      <w:pPr>
        <w:ind w:firstLine="5040" w:firstLineChars="1800"/>
        <w:rPr>
          <w:rFonts w:hint="eastAsia" w:ascii="宋体" w:hAnsi="宋体" w:eastAsia="宋体" w:cs="宋体"/>
          <w:color w:val="auto"/>
          <w:kern w:val="0"/>
          <w:sz w:val="28"/>
          <w:szCs w:val="28"/>
          <w:highlight w:val="none"/>
        </w:rPr>
      </w:pPr>
    </w:p>
    <w:p>
      <w:pPr>
        <w:ind w:firstLine="5760" w:firstLineChars="1800"/>
        <w:rPr>
          <w:rFonts w:hint="eastAsia" w:ascii="宋体" w:hAnsi="宋体" w:eastAsia="宋体" w:cs="宋体"/>
          <w:color w:val="auto"/>
          <w:kern w:val="0"/>
          <w:sz w:val="32"/>
          <w:szCs w:val="32"/>
          <w:highlight w:val="none"/>
        </w:rPr>
      </w:pPr>
    </w:p>
    <w:p>
      <w:pPr>
        <w:rPr>
          <w:rFonts w:hint="eastAsia" w:ascii="宋体" w:hAnsi="宋体" w:eastAsia="宋体" w:cs="宋体"/>
          <w:color w:val="auto"/>
          <w:sz w:val="32"/>
          <w:szCs w:val="32"/>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spacing w:line="566" w:lineRule="exact"/>
        <w:ind w:firstLine="590" w:firstLineChars="196"/>
        <w:rPr>
          <w:rFonts w:hint="eastAsia" w:ascii="宋体" w:hAnsi="宋体" w:eastAsia="宋体" w:cs="宋体"/>
          <w:b w:val="0"/>
          <w:bCs w:val="0"/>
          <w:color w:val="auto"/>
          <w:sz w:val="30"/>
          <w:szCs w:val="30"/>
          <w:highlight w:val="none"/>
        </w:rPr>
      </w:pPr>
      <w:r>
        <w:rPr>
          <w:rFonts w:hint="eastAsia" w:ascii="宋体" w:hAnsi="宋体" w:eastAsia="宋体" w:cs="宋体"/>
          <w:color w:val="auto"/>
          <w:sz w:val="30"/>
          <w:szCs w:val="30"/>
          <w:highlight w:val="none"/>
        </w:rPr>
        <w:t>参加采购活动前 3 年内在经营活动中没有重大违法记</w:t>
      </w:r>
      <w:r>
        <w:rPr>
          <w:rFonts w:hint="eastAsia" w:ascii="宋体" w:hAnsi="宋体" w:eastAsia="宋体" w:cs="宋体"/>
          <w:b w:val="0"/>
          <w:bCs w:val="0"/>
          <w:color w:val="auto"/>
          <w:sz w:val="30"/>
          <w:szCs w:val="30"/>
          <w:highlight w:val="none"/>
        </w:rPr>
        <w:t>录和失信记录的书面声明</w:t>
      </w:r>
    </w:p>
    <w:p>
      <w:pPr>
        <w:spacing w:line="566" w:lineRule="exact"/>
        <w:jc w:val="center"/>
        <w:rPr>
          <w:rFonts w:hint="eastAsia" w:ascii="宋体" w:hAnsi="宋体" w:eastAsia="宋体" w:cs="宋体"/>
          <w:b/>
          <w:bCs/>
          <w:color w:val="auto"/>
          <w:sz w:val="32"/>
          <w:szCs w:val="32"/>
          <w:highlight w:val="none"/>
        </w:rPr>
      </w:pPr>
    </w:p>
    <w:p>
      <w:pPr>
        <w:spacing w:line="566"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无重大违法记录声明函</w:t>
      </w:r>
    </w:p>
    <w:p>
      <w:pPr>
        <w:spacing w:line="566" w:lineRule="exact"/>
        <w:jc w:val="center"/>
        <w:rPr>
          <w:rFonts w:hint="eastAsia" w:ascii="宋体" w:hAnsi="宋体" w:eastAsia="宋体" w:cs="宋体"/>
          <w:b/>
          <w:bCs/>
          <w:color w:val="auto"/>
          <w:sz w:val="28"/>
          <w:szCs w:val="28"/>
          <w:highlight w:val="none"/>
        </w:rPr>
      </w:pPr>
    </w:p>
    <w:p>
      <w:pPr>
        <w:spacing w:line="566" w:lineRule="exact"/>
        <w:jc w:val="left"/>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我单位郑重声明：参加本次采购活动前 3 年内，我单位在经营活动中没有因违法经营受到刑事处罚或者责令停产停业、吊销许可证或者执照、较大数额罚款等行政处罚。</w:t>
      </w:r>
    </w:p>
    <w:p>
      <w:pPr>
        <w:spacing w:line="460" w:lineRule="exact"/>
        <w:jc w:val="left"/>
        <w:rPr>
          <w:rFonts w:hint="eastAsia" w:ascii="宋体" w:hAnsi="宋体" w:eastAsia="宋体" w:cs="宋体"/>
          <w:bCs/>
          <w:color w:val="auto"/>
          <w:sz w:val="28"/>
          <w:szCs w:val="28"/>
          <w:highlight w:val="none"/>
        </w:rPr>
      </w:pPr>
    </w:p>
    <w:p>
      <w:pPr>
        <w:spacing w:line="460" w:lineRule="exact"/>
        <w:rPr>
          <w:rFonts w:hint="eastAsia" w:ascii="宋体" w:hAnsi="宋体" w:eastAsia="宋体" w:cs="宋体"/>
          <w:bCs/>
          <w:color w:val="auto"/>
          <w:sz w:val="28"/>
          <w:szCs w:val="28"/>
          <w:highlight w:val="none"/>
        </w:rPr>
      </w:pPr>
    </w:p>
    <w:p>
      <w:pPr>
        <w:spacing w:line="460" w:lineRule="exact"/>
        <w:rPr>
          <w:rFonts w:hint="eastAsia" w:ascii="宋体" w:hAnsi="宋体" w:eastAsia="宋体" w:cs="宋体"/>
          <w:bCs/>
          <w:color w:val="auto"/>
          <w:sz w:val="28"/>
          <w:szCs w:val="28"/>
          <w:highlight w:val="none"/>
        </w:rPr>
      </w:pPr>
    </w:p>
    <w:p>
      <w:pPr>
        <w:spacing w:line="460" w:lineRule="exact"/>
        <w:rPr>
          <w:rFonts w:hint="eastAsia" w:ascii="宋体" w:hAnsi="宋体" w:eastAsia="宋体" w:cs="宋体"/>
          <w:bCs/>
          <w:color w:val="auto"/>
          <w:sz w:val="28"/>
          <w:szCs w:val="28"/>
          <w:highlight w:val="none"/>
        </w:rPr>
      </w:pPr>
    </w:p>
    <w:p>
      <w:pPr>
        <w:spacing w:line="460" w:lineRule="exact"/>
        <w:rPr>
          <w:rFonts w:hint="eastAsia" w:ascii="宋体" w:hAnsi="宋体" w:eastAsia="宋体" w:cs="宋体"/>
          <w:bCs/>
          <w:color w:val="auto"/>
          <w:sz w:val="28"/>
          <w:szCs w:val="28"/>
          <w:highlight w:val="none"/>
        </w:rPr>
      </w:pPr>
    </w:p>
    <w:p>
      <w:pPr>
        <w:spacing w:line="460" w:lineRule="exact"/>
        <w:rPr>
          <w:rFonts w:hint="eastAsia" w:ascii="宋体" w:hAnsi="宋体" w:eastAsia="宋体" w:cs="宋体"/>
          <w:bCs/>
          <w:color w:val="auto"/>
          <w:sz w:val="28"/>
          <w:szCs w:val="28"/>
          <w:highlight w:val="none"/>
        </w:rPr>
      </w:pPr>
    </w:p>
    <w:p>
      <w:pPr>
        <w:spacing w:line="566" w:lineRule="exact"/>
        <w:ind w:firstLine="2520" w:firstLineChars="9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企业名称(盖章)：</w:t>
      </w:r>
    </w:p>
    <w:p>
      <w:pPr>
        <w:spacing w:line="566"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法定代表人或授权委托人（签字或盖章）</w:t>
      </w:r>
    </w:p>
    <w:p>
      <w:pPr>
        <w:spacing w:line="566" w:lineRule="exact"/>
        <w:ind w:firstLine="3500" w:firstLineChars="12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  期：</w:t>
      </w:r>
    </w:p>
    <w:p>
      <w:pPr>
        <w:spacing w:line="460" w:lineRule="exact"/>
        <w:rPr>
          <w:rFonts w:hint="eastAsia" w:ascii="宋体" w:hAnsi="宋体" w:eastAsia="宋体" w:cs="宋体"/>
          <w:bCs/>
          <w:color w:val="auto"/>
          <w:sz w:val="28"/>
          <w:szCs w:val="28"/>
          <w:highlight w:val="none"/>
        </w:rPr>
      </w:pPr>
    </w:p>
    <w:p>
      <w:pPr>
        <w:spacing w:line="460" w:lineRule="exact"/>
        <w:rPr>
          <w:rFonts w:hint="eastAsia" w:ascii="宋体" w:hAnsi="宋体" w:eastAsia="宋体" w:cs="宋体"/>
          <w:bCs/>
          <w:color w:val="auto"/>
          <w:sz w:val="24"/>
          <w:highlight w:val="none"/>
        </w:rPr>
      </w:pPr>
    </w:p>
    <w:p>
      <w:pPr>
        <w:spacing w:line="460" w:lineRule="exact"/>
        <w:rPr>
          <w:rFonts w:hint="eastAsia" w:ascii="宋体" w:hAnsi="宋体" w:eastAsia="宋体" w:cs="宋体"/>
          <w:bCs/>
          <w:color w:val="auto"/>
          <w:sz w:val="24"/>
          <w:highlight w:val="none"/>
        </w:rPr>
      </w:pPr>
    </w:p>
    <w:p>
      <w:pPr>
        <w:spacing w:line="460" w:lineRule="exact"/>
        <w:rPr>
          <w:rFonts w:hint="eastAsia" w:ascii="宋体" w:hAnsi="宋体" w:eastAsia="宋体" w:cs="宋体"/>
          <w:bCs/>
          <w:color w:val="auto"/>
          <w:sz w:val="24"/>
          <w:highlight w:val="none"/>
        </w:rPr>
      </w:pPr>
    </w:p>
    <w:p>
      <w:pPr>
        <w:spacing w:line="460" w:lineRule="exact"/>
        <w:rPr>
          <w:rFonts w:hint="eastAsia" w:ascii="宋体" w:hAnsi="宋体" w:eastAsia="宋体" w:cs="宋体"/>
          <w:bCs/>
          <w:color w:val="auto"/>
          <w:sz w:val="24"/>
          <w:highlight w:val="none"/>
        </w:rPr>
      </w:pPr>
    </w:p>
    <w:p>
      <w:pPr>
        <w:spacing w:line="566"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4"/>
        <w:spacing w:before="0" w:after="0" w:line="566" w:lineRule="exact"/>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投标响应函</w:t>
      </w:r>
    </w:p>
    <w:p>
      <w:pPr>
        <w:pStyle w:val="74"/>
        <w:spacing w:before="0" w:after="0" w:line="566" w:lineRule="exact"/>
        <w:ind w:firstLine="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致：南通市殡仪馆：</w:t>
      </w:r>
    </w:p>
    <w:p>
      <w:pPr>
        <w:pStyle w:val="74"/>
        <w:spacing w:before="0" w:after="0" w:line="566"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根据贵方的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color w:val="auto"/>
          <w:kern w:val="2"/>
          <w:sz w:val="28"/>
          <w:szCs w:val="28"/>
          <w:highlight w:val="none"/>
        </w:rPr>
        <w:t>号招标文件，正式授权下述签字人______(姓名)代表我方_____（投标人的名称），全权处理本次项目投标的有关事宜。</w:t>
      </w:r>
    </w:p>
    <w:p>
      <w:pPr>
        <w:pStyle w:val="74"/>
        <w:spacing w:before="0" w:after="0" w:line="566"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据此函，____签字人兹宣布同意如下：</w:t>
      </w:r>
    </w:p>
    <w:p>
      <w:pPr>
        <w:pStyle w:val="74"/>
        <w:spacing w:before="0" w:after="0" w:line="566"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1.按招标文件规定的各项要求，向买方提供所需货物与服务。</w:t>
      </w:r>
    </w:p>
    <w:p>
      <w:pPr>
        <w:pStyle w:val="74"/>
        <w:spacing w:before="0" w:after="0" w:line="566"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2.我们完全理解贵方不一定将合同授予最低报价的投标人。</w:t>
      </w:r>
    </w:p>
    <w:p>
      <w:pPr>
        <w:pStyle w:val="74"/>
        <w:spacing w:before="0" w:after="0" w:line="566"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3.我们已详细审核全部招标文件及其有效补充文件，我们知道必须放弃提出含糊不清或误解问题的权利。</w:t>
      </w:r>
    </w:p>
    <w:p>
      <w:pPr>
        <w:pStyle w:val="74"/>
        <w:spacing w:before="0" w:after="0" w:line="566"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4.我们同意从规定的开标日期起遵循本投标文件，并在规定的投标有效期期满之前均具有约束力。</w:t>
      </w:r>
    </w:p>
    <w:p>
      <w:pPr>
        <w:pStyle w:val="74"/>
        <w:spacing w:before="0" w:after="0" w:line="566"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5.如果在开标后规定的投标有效期内撤回投标或中标后拒绝签订合同，我们的投标保证金可不予退还。</w:t>
      </w:r>
    </w:p>
    <w:p>
      <w:pPr>
        <w:pStyle w:val="74"/>
        <w:spacing w:before="0" w:after="0" w:line="566"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6.同意向贵方提供贵方可能另外要求的与投标有关的任何证据或资料，并保证我方已提供和将要提供的文件是真实的、准确的。</w:t>
      </w:r>
    </w:p>
    <w:p>
      <w:pPr>
        <w:pStyle w:val="74"/>
        <w:spacing w:before="0" w:after="0" w:line="566"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7.一旦我方中标,我方将根据招标文件的规定，严格履行合同的责任和义务,并保证在招标文件规定的时间完成项目，交付买方验收、使用。</w:t>
      </w:r>
    </w:p>
    <w:p>
      <w:pPr>
        <w:pStyle w:val="74"/>
        <w:spacing w:before="0" w:after="0" w:line="566" w:lineRule="exact"/>
        <w:ind w:left="425" w:firstLine="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8.与本投标有关的正式通讯地址为：</w:t>
      </w:r>
    </w:p>
    <w:p>
      <w:pPr>
        <w:pStyle w:val="74"/>
        <w:spacing w:before="0" w:after="0" w:line="566" w:lineRule="exact"/>
        <w:ind w:left="420" w:leftChars="200"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地址：                电话：    </w:t>
      </w:r>
    </w:p>
    <w:p>
      <w:pPr>
        <w:pStyle w:val="74"/>
        <w:spacing w:before="0" w:after="0" w:line="566" w:lineRule="exact"/>
        <w:ind w:left="420" w:leftChars="200"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投标人开户行：        账户： </w:t>
      </w:r>
    </w:p>
    <w:p>
      <w:pPr>
        <w:pStyle w:val="74"/>
        <w:spacing w:before="0" w:after="0" w:line="566" w:lineRule="exact"/>
        <w:ind w:left="420" w:leftChars="200"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投标人授权代表姓名（签字）： </w:t>
      </w:r>
    </w:p>
    <w:p>
      <w:pPr>
        <w:pStyle w:val="74"/>
        <w:spacing w:before="0" w:after="0" w:line="566" w:lineRule="exact"/>
        <w:ind w:left="420" w:leftChars="200"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投标人名称（公章）： </w:t>
      </w:r>
    </w:p>
    <w:p>
      <w:pPr>
        <w:pStyle w:val="74"/>
        <w:spacing w:before="0" w:after="0" w:line="566" w:lineRule="exact"/>
        <w:ind w:left="420" w:leftChars="200"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日           期：___年____月____日</w:t>
      </w:r>
    </w:p>
    <w:p>
      <w:pPr>
        <w:snapToGrid w:val="0"/>
        <w:spacing w:before="50" w:after="156" w:afterLines="50"/>
        <w:jc w:val="left"/>
        <w:rPr>
          <w:rFonts w:hint="eastAsia" w:ascii="宋体" w:hAnsi="宋体" w:eastAsia="宋体" w:cs="宋体"/>
          <w:color w:val="auto"/>
          <w:sz w:val="24"/>
          <w:szCs w:val="20"/>
          <w:highlight w:val="none"/>
        </w:rPr>
      </w:pPr>
      <w:r>
        <w:rPr>
          <w:rFonts w:hint="eastAsia" w:ascii="宋体" w:hAnsi="宋体" w:eastAsia="宋体" w:cs="宋体"/>
          <w:color w:val="auto"/>
          <w:sz w:val="44"/>
          <w:highlight w:val="none"/>
        </w:rPr>
        <w:t xml:space="preserve">        </w:t>
      </w:r>
      <w:bookmarkEnd w:id="148"/>
      <w:bookmarkEnd w:id="149"/>
      <w:bookmarkEnd w:id="168"/>
      <w:bookmarkStart w:id="170" w:name="_格式2__法定代表人授权书"/>
      <w:bookmarkEnd w:id="170"/>
      <w:bookmarkStart w:id="171" w:name="_Toc26554095"/>
      <w:bookmarkStart w:id="172" w:name="_Toc460901585"/>
      <w:bookmarkStart w:id="173" w:name="_Toc23828478"/>
      <w:bookmarkStart w:id="174" w:name="_Toc120614283"/>
      <w:bookmarkStart w:id="175" w:name="_Toc49090577"/>
      <w:bookmarkStart w:id="176" w:name="_Toc22356580"/>
      <w:bookmarkStart w:id="177" w:name="_Toc513029276"/>
    </w:p>
    <w:bookmarkEnd w:id="171"/>
    <w:bookmarkEnd w:id="172"/>
    <w:bookmarkEnd w:id="173"/>
    <w:bookmarkEnd w:id="174"/>
    <w:bookmarkEnd w:id="175"/>
    <w:bookmarkEnd w:id="176"/>
    <w:bookmarkEnd w:id="177"/>
    <w:p>
      <w:pPr>
        <w:pStyle w:val="4"/>
        <w:spacing w:before="0" w:after="0" w:line="566" w:lineRule="exact"/>
        <w:ind w:left="1020"/>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开标一览表</w:t>
      </w:r>
    </w:p>
    <w:p>
      <w:pPr>
        <w:pStyle w:val="5"/>
        <w:rPr>
          <w:rFonts w:hint="eastAsia" w:ascii="宋体" w:hAnsi="宋体" w:eastAsia="宋体" w:cs="宋体"/>
          <w:color w:val="auto"/>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投标人全称（加盖公章）：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13"/>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投标货物、服务名称</w:t>
            </w:r>
          </w:p>
        </w:tc>
        <w:tc>
          <w:tcPr>
            <w:tcW w:w="640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投标报价（元/条）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13"/>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
                <w:bCs/>
                <w:color w:val="auto"/>
                <w:highlight w:val="none"/>
              </w:rPr>
              <w:t>拣灰炉寿毯</w:t>
            </w:r>
          </w:p>
        </w:tc>
        <w:tc>
          <w:tcPr>
            <w:tcW w:w="6405" w:type="dxa"/>
            <w:vAlign w:val="center"/>
          </w:tcPr>
          <w:p>
            <w:pPr>
              <w:pStyle w:val="13"/>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元/条</w:t>
            </w:r>
          </w:p>
          <w:p>
            <w:pPr>
              <w:pStyle w:val="74"/>
              <w:spacing w:before="0" w:after="0" w:line="500" w:lineRule="exact"/>
              <w:ind w:firstLine="0"/>
              <w:rPr>
                <w:rFonts w:hint="eastAsia" w:ascii="宋体" w:hAnsi="宋体" w:eastAsia="宋体" w:cs="宋体"/>
                <w:color w:val="auto"/>
                <w:kern w:val="2"/>
                <w:szCs w:val="21"/>
                <w:highlight w:val="none"/>
              </w:rPr>
            </w:pPr>
            <w:r>
              <w:rPr>
                <w:rFonts w:hint="eastAsia" w:ascii="宋体" w:hAnsi="宋体" w:eastAsia="宋体" w:cs="宋体"/>
                <w:color w:val="auto"/>
                <w:highlight w:val="none"/>
              </w:rPr>
              <w:t xml:space="preserve">小写：                             </w:t>
            </w:r>
            <w:r>
              <w:rPr>
                <w:rFonts w:hint="eastAsia" w:ascii="宋体" w:hAnsi="宋体" w:eastAsia="宋体" w:cs="宋体"/>
                <w:color w:val="auto"/>
                <w:sz w:val="24"/>
                <w:szCs w:val="24"/>
                <w:highlight w:val="none"/>
              </w:rPr>
              <w:t>元/条</w:t>
            </w:r>
            <w:r>
              <w:rPr>
                <w:rFonts w:hint="eastAsia" w:ascii="宋体" w:hAnsi="宋体" w:eastAsia="宋体" w:cs="宋体"/>
                <w:color w:val="auto"/>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pStyle w:val="13"/>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
                <w:bCs/>
                <w:color w:val="auto"/>
                <w:highlight w:val="none"/>
              </w:rPr>
              <w:t>技术要求</w:t>
            </w:r>
          </w:p>
        </w:tc>
        <w:tc>
          <w:tcPr>
            <w:tcW w:w="6405" w:type="dxa"/>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1、尺寸：长2100mm  宽650mm  厚10mm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2、主材：陶瓷纤维棉，耐温≥1200℃</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3、寿毯外包装材质：无纺布</w:t>
            </w:r>
          </w:p>
          <w:p>
            <w:pPr>
              <w:pStyle w:val="13"/>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4、遗体火化结束，原有的垫子可以卷起拿走，便于清理。</w:t>
            </w:r>
          </w:p>
        </w:tc>
      </w:tr>
    </w:tbl>
    <w:p>
      <w:pPr>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注：投标报价按单价报价。中标后按采购人实际需求量结算货款。</w:t>
      </w:r>
    </w:p>
    <w:p>
      <w:pPr>
        <w:jc w:val="center"/>
        <w:rPr>
          <w:rFonts w:hint="eastAsia" w:ascii="宋体" w:hAnsi="宋体" w:eastAsia="宋体" w:cs="宋体"/>
          <w:color w:val="auto"/>
          <w:sz w:val="24"/>
          <w:szCs w:val="24"/>
          <w:highlight w:val="none"/>
        </w:rPr>
      </w:pPr>
    </w:p>
    <w:p>
      <w:pPr>
        <w:pStyle w:val="4"/>
        <w:spacing w:before="0" w:after="0" w:line="566" w:lineRule="exact"/>
        <w:ind w:firstLine="3200" w:firstLineChars="1000"/>
        <w:jc w:val="both"/>
        <w:rPr>
          <w:rFonts w:hint="eastAsia" w:ascii="宋体" w:hAnsi="宋体" w:eastAsia="宋体" w:cs="宋体"/>
          <w:b w:val="0"/>
          <w:bCs w:val="0"/>
          <w:color w:val="auto"/>
          <w:sz w:val="32"/>
          <w:szCs w:val="32"/>
          <w:highlight w:val="none"/>
        </w:rPr>
      </w:pPr>
    </w:p>
    <w:p>
      <w:pPr>
        <w:pStyle w:val="5"/>
        <w:rPr>
          <w:rFonts w:hint="eastAsia" w:ascii="宋体" w:hAnsi="宋体" w:eastAsia="宋体" w:cs="宋体"/>
          <w:color w:val="auto"/>
          <w:highlight w:val="none"/>
        </w:rPr>
      </w:pPr>
    </w:p>
    <w:p>
      <w:pPr>
        <w:spacing w:line="566" w:lineRule="exact"/>
        <w:jc w:val="center"/>
        <w:rPr>
          <w:rFonts w:hint="eastAsia" w:ascii="宋体" w:hAnsi="宋体" w:eastAsia="宋体" w:cs="宋体"/>
          <w:bCs/>
          <w:color w:val="auto"/>
          <w:sz w:val="44"/>
          <w:szCs w:val="4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2000000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879869"/>
    </w:sdtPr>
    <w:sdtContent>
      <w:p>
        <w:pPr>
          <w:pStyle w:val="22"/>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51"/>
      <w:lvlText w:val="附录%1."/>
      <w:lvlJc w:val="left"/>
      <w:pPr>
        <w:tabs>
          <w:tab w:val="left" w:pos="907"/>
        </w:tabs>
        <w:ind w:left="907" w:hanging="907"/>
      </w:pPr>
      <w:rPr>
        <w:rFonts w:hint="eastAsia"/>
      </w:rPr>
    </w:lvl>
  </w:abstractNum>
  <w:abstractNum w:abstractNumId="1">
    <w:nsid w:val="237E4D61"/>
    <w:multiLevelType w:val="multilevel"/>
    <w:tmpl w:val="237E4D61"/>
    <w:lvl w:ilvl="0" w:tentative="0">
      <w:start w:val="1"/>
      <w:numFmt w:val="japaneseCounting"/>
      <w:pStyle w:val="92"/>
      <w:lvlText w:val="第%1章"/>
      <w:lvlJc w:val="left"/>
      <w:pPr>
        <w:ind w:left="9351" w:hanging="420"/>
      </w:pPr>
      <w:rPr>
        <w:rFonts w:hint="eastAsia" w:ascii="黑体" w:eastAsia="黑体"/>
        <w:b w:val="0"/>
        <w:sz w:val="36"/>
        <w:lang w:val="en-US"/>
      </w:rPr>
    </w:lvl>
    <w:lvl w:ilvl="1" w:tentative="0">
      <w:start w:val="1"/>
      <w:numFmt w:val="decimal"/>
      <w:pStyle w:val="93"/>
      <w:isLgl/>
      <w:lvlText w:val="%1.%2"/>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pStyle w:val="94"/>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95"/>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45C284ED"/>
    <w:multiLevelType w:val="singleLevel"/>
    <w:tmpl w:val="45C284ED"/>
    <w:lvl w:ilvl="0" w:tentative="0">
      <w:start w:val="1"/>
      <w:numFmt w:val="chineseCounting"/>
      <w:suff w:val="space"/>
      <w:lvlText w:val="第%1章"/>
      <w:lvlJc w:val="left"/>
      <w:rPr>
        <w:rFonts w:hint="eastAsia"/>
      </w:rPr>
    </w:lvl>
  </w:abstractNum>
  <w:abstractNum w:abstractNumId="3">
    <w:nsid w:val="761F64C7"/>
    <w:multiLevelType w:val="multilevel"/>
    <w:tmpl w:val="761F64C7"/>
    <w:lvl w:ilvl="0" w:tentative="0">
      <w:start w:val="3"/>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N2UwNmNjMDJkYTRlMWQ4ZDQ4MDZkYWJkNDA4Y2MifQ=="/>
  </w:docVars>
  <w:rsids>
    <w:rsidRoot w:val="00097E80"/>
    <w:rsid w:val="00004CAD"/>
    <w:rsid w:val="000153FE"/>
    <w:rsid w:val="00035499"/>
    <w:rsid w:val="000456FC"/>
    <w:rsid w:val="00045E55"/>
    <w:rsid w:val="0004612C"/>
    <w:rsid w:val="00077042"/>
    <w:rsid w:val="00077FA7"/>
    <w:rsid w:val="00093ACE"/>
    <w:rsid w:val="00097E80"/>
    <w:rsid w:val="000B713F"/>
    <w:rsid w:val="000D0FB6"/>
    <w:rsid w:val="000E13F2"/>
    <w:rsid w:val="000E4F23"/>
    <w:rsid w:val="00104192"/>
    <w:rsid w:val="00126B21"/>
    <w:rsid w:val="00162797"/>
    <w:rsid w:val="00174695"/>
    <w:rsid w:val="0019473C"/>
    <w:rsid w:val="00195D9D"/>
    <w:rsid w:val="001A1B0F"/>
    <w:rsid w:val="001C50ED"/>
    <w:rsid w:val="001E3AB8"/>
    <w:rsid w:val="001F2E4A"/>
    <w:rsid w:val="001F5C2F"/>
    <w:rsid w:val="0020345B"/>
    <w:rsid w:val="002123FE"/>
    <w:rsid w:val="00212508"/>
    <w:rsid w:val="002136CF"/>
    <w:rsid w:val="00242269"/>
    <w:rsid w:val="00250A66"/>
    <w:rsid w:val="002626AF"/>
    <w:rsid w:val="002A6616"/>
    <w:rsid w:val="002C219D"/>
    <w:rsid w:val="002E0267"/>
    <w:rsid w:val="00334A98"/>
    <w:rsid w:val="00336908"/>
    <w:rsid w:val="00336E45"/>
    <w:rsid w:val="00343DD5"/>
    <w:rsid w:val="0034622F"/>
    <w:rsid w:val="003621DA"/>
    <w:rsid w:val="003707E2"/>
    <w:rsid w:val="003773A8"/>
    <w:rsid w:val="00381CC2"/>
    <w:rsid w:val="00396B02"/>
    <w:rsid w:val="00396B94"/>
    <w:rsid w:val="003A6142"/>
    <w:rsid w:val="003B60DF"/>
    <w:rsid w:val="004018ED"/>
    <w:rsid w:val="004415BD"/>
    <w:rsid w:val="004430F1"/>
    <w:rsid w:val="004608E6"/>
    <w:rsid w:val="004D2601"/>
    <w:rsid w:val="004D3807"/>
    <w:rsid w:val="004E596F"/>
    <w:rsid w:val="004F4908"/>
    <w:rsid w:val="00501BC6"/>
    <w:rsid w:val="00515398"/>
    <w:rsid w:val="00530128"/>
    <w:rsid w:val="005512A5"/>
    <w:rsid w:val="00614637"/>
    <w:rsid w:val="00620E49"/>
    <w:rsid w:val="00632B19"/>
    <w:rsid w:val="006B35E5"/>
    <w:rsid w:val="006B4730"/>
    <w:rsid w:val="006B757C"/>
    <w:rsid w:val="006C37C5"/>
    <w:rsid w:val="006E2001"/>
    <w:rsid w:val="006F0B98"/>
    <w:rsid w:val="00702DBB"/>
    <w:rsid w:val="00737182"/>
    <w:rsid w:val="00764A75"/>
    <w:rsid w:val="00794740"/>
    <w:rsid w:val="007A18F2"/>
    <w:rsid w:val="007A77CC"/>
    <w:rsid w:val="007C22FB"/>
    <w:rsid w:val="007D182A"/>
    <w:rsid w:val="0080715E"/>
    <w:rsid w:val="00816889"/>
    <w:rsid w:val="008267D2"/>
    <w:rsid w:val="00874AAB"/>
    <w:rsid w:val="00897004"/>
    <w:rsid w:val="008A2CFC"/>
    <w:rsid w:val="008B1234"/>
    <w:rsid w:val="008B34AB"/>
    <w:rsid w:val="008B5C2B"/>
    <w:rsid w:val="008B785A"/>
    <w:rsid w:val="008D4A0F"/>
    <w:rsid w:val="008F1A6E"/>
    <w:rsid w:val="008F51A8"/>
    <w:rsid w:val="0091739E"/>
    <w:rsid w:val="00947CD9"/>
    <w:rsid w:val="00996ED1"/>
    <w:rsid w:val="009A5A02"/>
    <w:rsid w:val="009F43F9"/>
    <w:rsid w:val="00A73971"/>
    <w:rsid w:val="00AA6C92"/>
    <w:rsid w:val="00AE1B2C"/>
    <w:rsid w:val="00B33ECE"/>
    <w:rsid w:val="00B45BAF"/>
    <w:rsid w:val="00B72D9E"/>
    <w:rsid w:val="00B95433"/>
    <w:rsid w:val="00BD1815"/>
    <w:rsid w:val="00BD351B"/>
    <w:rsid w:val="00BE63C0"/>
    <w:rsid w:val="00C12C5B"/>
    <w:rsid w:val="00C213ED"/>
    <w:rsid w:val="00C2422F"/>
    <w:rsid w:val="00C374DF"/>
    <w:rsid w:val="00C45506"/>
    <w:rsid w:val="00C56CEC"/>
    <w:rsid w:val="00C65712"/>
    <w:rsid w:val="00C74A78"/>
    <w:rsid w:val="00C90511"/>
    <w:rsid w:val="00C933E0"/>
    <w:rsid w:val="00CA7864"/>
    <w:rsid w:val="00CC08ED"/>
    <w:rsid w:val="00CD07BA"/>
    <w:rsid w:val="00CF2D05"/>
    <w:rsid w:val="00D0033D"/>
    <w:rsid w:val="00D26784"/>
    <w:rsid w:val="00D32DA9"/>
    <w:rsid w:val="00D57813"/>
    <w:rsid w:val="00D800C1"/>
    <w:rsid w:val="00D85865"/>
    <w:rsid w:val="00D95170"/>
    <w:rsid w:val="00DA5C52"/>
    <w:rsid w:val="00DC3B21"/>
    <w:rsid w:val="00DF222D"/>
    <w:rsid w:val="00DF49CE"/>
    <w:rsid w:val="00E04EB1"/>
    <w:rsid w:val="00E15049"/>
    <w:rsid w:val="00E2192F"/>
    <w:rsid w:val="00E21B0B"/>
    <w:rsid w:val="00EC0EB8"/>
    <w:rsid w:val="00EC6C60"/>
    <w:rsid w:val="00EE11DF"/>
    <w:rsid w:val="00F1179C"/>
    <w:rsid w:val="00F342DD"/>
    <w:rsid w:val="00F367C1"/>
    <w:rsid w:val="00F5196A"/>
    <w:rsid w:val="00F67699"/>
    <w:rsid w:val="00F713D7"/>
    <w:rsid w:val="00F775CA"/>
    <w:rsid w:val="00F922F3"/>
    <w:rsid w:val="00F948C5"/>
    <w:rsid w:val="00FC10F0"/>
    <w:rsid w:val="00FE6659"/>
    <w:rsid w:val="00FF066F"/>
    <w:rsid w:val="00FF2359"/>
    <w:rsid w:val="086B3215"/>
    <w:rsid w:val="0DD361DA"/>
    <w:rsid w:val="0F035BED"/>
    <w:rsid w:val="106051FD"/>
    <w:rsid w:val="12C003C0"/>
    <w:rsid w:val="15E31EF8"/>
    <w:rsid w:val="22D3493D"/>
    <w:rsid w:val="2BB02632"/>
    <w:rsid w:val="3EFA0401"/>
    <w:rsid w:val="500630BD"/>
    <w:rsid w:val="51AD6AB8"/>
    <w:rsid w:val="52AF33C7"/>
    <w:rsid w:val="578A724A"/>
    <w:rsid w:val="57C57436"/>
    <w:rsid w:val="624D7270"/>
    <w:rsid w:val="76417CAB"/>
    <w:rsid w:val="7C19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4"/>
    <w:qFormat/>
    <w:uiPriority w:val="0"/>
    <w:pPr>
      <w:keepNext/>
      <w:jc w:val="center"/>
      <w:outlineLvl w:val="0"/>
    </w:pPr>
    <w:rPr>
      <w:rFonts w:ascii="楷体_GB2312" w:hAnsi="Times New Roman" w:eastAsia="楷体_GB2312"/>
      <w:sz w:val="28"/>
      <w:szCs w:val="28"/>
    </w:rPr>
  </w:style>
  <w:style w:type="paragraph" w:styleId="4">
    <w:name w:val="heading 2"/>
    <w:basedOn w:val="1"/>
    <w:next w:val="5"/>
    <w:link w:val="4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1"/>
    <w:link w:val="46"/>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5"/>
    <w:link w:val="47"/>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5"/>
    <w:link w:val="48"/>
    <w:qFormat/>
    <w:uiPriority w:val="0"/>
    <w:pPr>
      <w:keepNext/>
      <w:autoSpaceDE w:val="0"/>
      <w:autoSpaceDN w:val="0"/>
      <w:adjustRightInd w:val="0"/>
      <w:outlineLvl w:val="4"/>
    </w:pPr>
    <w:rPr>
      <w:rFonts w:ascii="宋体" w:hAnsi="Times New Roman"/>
      <w:color w:val="000000"/>
      <w:kern w:val="0"/>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2"/>
    <w:qFormat/>
    <w:uiPriority w:val="0"/>
    <w:pPr>
      <w:ind w:left="630" w:firstLine="645"/>
    </w:pPr>
    <w:rPr>
      <w:rFonts w:ascii="Arial" w:hAnsi="Arial" w:eastAsia="仿宋_GB2312" w:cs="Arial"/>
      <w:sz w:val="32"/>
      <w:szCs w:val="32"/>
    </w:rPr>
  </w:style>
  <w:style w:type="paragraph" w:styleId="5">
    <w:name w:val="Normal Indent"/>
    <w:basedOn w:val="1"/>
    <w:link w:val="49"/>
    <w:qFormat/>
    <w:uiPriority w:val="0"/>
    <w:pPr>
      <w:ind w:firstLine="420"/>
    </w:pPr>
    <w:rPr>
      <w:rFonts w:ascii="Times New Roman" w:hAnsi="Times New Roman" w:eastAsia="Times New Roman"/>
      <w:szCs w:val="21"/>
    </w:rPr>
  </w:style>
  <w:style w:type="paragraph" w:styleId="9">
    <w:name w:val="toc 7"/>
    <w:basedOn w:val="1"/>
    <w:next w:val="1"/>
    <w:semiHidden/>
    <w:qFormat/>
    <w:uiPriority w:val="0"/>
    <w:pPr>
      <w:ind w:left="1260"/>
      <w:jc w:val="left"/>
    </w:pPr>
    <w:rPr>
      <w:rFonts w:ascii="Times New Roman" w:hAnsi="Times New Roman"/>
      <w:szCs w:val="21"/>
    </w:rPr>
  </w:style>
  <w:style w:type="paragraph" w:styleId="10">
    <w:name w:val="Document Map"/>
    <w:basedOn w:val="1"/>
    <w:link w:val="57"/>
    <w:semiHidden/>
    <w:qFormat/>
    <w:uiPriority w:val="0"/>
    <w:pPr>
      <w:shd w:val="clear" w:color="auto" w:fill="000080"/>
    </w:pPr>
    <w:rPr>
      <w:rFonts w:ascii="Times New Roman" w:hAnsi="Times New Roman"/>
      <w:szCs w:val="21"/>
    </w:rPr>
  </w:style>
  <w:style w:type="paragraph" w:styleId="11">
    <w:name w:val="annotation text"/>
    <w:basedOn w:val="1"/>
    <w:link w:val="58"/>
    <w:semiHidden/>
    <w:qFormat/>
    <w:uiPriority w:val="0"/>
    <w:pPr>
      <w:jc w:val="left"/>
    </w:pPr>
  </w:style>
  <w:style w:type="paragraph" w:styleId="12">
    <w:name w:val="Body Text 3"/>
    <w:basedOn w:val="1"/>
    <w:link w:val="60"/>
    <w:qFormat/>
    <w:uiPriority w:val="0"/>
    <w:rPr>
      <w:rFonts w:ascii="仿宋_GB2312" w:hAnsi="Arial" w:eastAsia="仿宋_GB2312"/>
      <w:sz w:val="32"/>
      <w:szCs w:val="32"/>
    </w:rPr>
  </w:style>
  <w:style w:type="paragraph" w:styleId="13">
    <w:name w:val="Body Text"/>
    <w:basedOn w:val="1"/>
    <w:link w:val="56"/>
    <w:qFormat/>
    <w:uiPriority w:val="0"/>
    <w:rPr>
      <w:rFonts w:ascii="楷体_GB2312" w:hAnsi="Arial" w:eastAsia="楷体_GB2312"/>
      <w:sz w:val="28"/>
      <w:szCs w:val="28"/>
    </w:rPr>
  </w:style>
  <w:style w:type="paragraph" w:styleId="14">
    <w:name w:val="Body Text Indent"/>
    <w:basedOn w:val="1"/>
    <w:link w:val="61"/>
    <w:qFormat/>
    <w:uiPriority w:val="0"/>
    <w:pPr>
      <w:ind w:firstLine="645"/>
    </w:pPr>
    <w:rPr>
      <w:rFonts w:ascii="楷体_GB2312" w:hAnsi="Times New Roman" w:eastAsia="楷体_GB2312"/>
      <w:sz w:val="32"/>
      <w:szCs w:val="32"/>
    </w:rPr>
  </w:style>
  <w:style w:type="paragraph" w:styleId="15">
    <w:name w:val="List 2"/>
    <w:basedOn w:val="1"/>
    <w:qFormat/>
    <w:uiPriority w:val="0"/>
    <w:pPr>
      <w:ind w:left="100" w:leftChars="200" w:hanging="200" w:hangingChars="200"/>
    </w:pPr>
    <w:rPr>
      <w:rFonts w:ascii="Times New Roman" w:hAnsi="Times New Roman"/>
      <w:szCs w:val="21"/>
    </w:rPr>
  </w:style>
  <w:style w:type="paragraph" w:styleId="16">
    <w:name w:val="toc 5"/>
    <w:basedOn w:val="1"/>
    <w:next w:val="1"/>
    <w:semiHidden/>
    <w:qFormat/>
    <w:uiPriority w:val="0"/>
    <w:pPr>
      <w:ind w:left="840"/>
      <w:jc w:val="left"/>
    </w:pPr>
    <w:rPr>
      <w:rFonts w:ascii="Times New Roman" w:hAnsi="Times New Roman"/>
      <w:szCs w:val="21"/>
    </w:rPr>
  </w:style>
  <w:style w:type="paragraph" w:styleId="17">
    <w:name w:val="toc 3"/>
    <w:basedOn w:val="1"/>
    <w:next w:val="1"/>
    <w:semiHidden/>
    <w:qFormat/>
    <w:uiPriority w:val="0"/>
    <w:pPr>
      <w:ind w:left="420"/>
      <w:jc w:val="left"/>
    </w:pPr>
    <w:rPr>
      <w:rFonts w:ascii="Times New Roman" w:hAnsi="Times New Roman"/>
      <w:i/>
      <w:iCs/>
      <w:szCs w:val="24"/>
    </w:rPr>
  </w:style>
  <w:style w:type="paragraph" w:styleId="18">
    <w:name w:val="Plain Text"/>
    <w:basedOn w:val="1"/>
    <w:link w:val="65"/>
    <w:qFormat/>
    <w:uiPriority w:val="0"/>
    <w:rPr>
      <w:rFonts w:ascii="宋体" w:hAnsi="Courier New" w:cs="Courier New"/>
      <w:szCs w:val="21"/>
    </w:rPr>
  </w:style>
  <w:style w:type="paragraph" w:styleId="19">
    <w:name w:val="toc 8"/>
    <w:basedOn w:val="1"/>
    <w:next w:val="1"/>
    <w:semiHidden/>
    <w:qFormat/>
    <w:uiPriority w:val="0"/>
    <w:pPr>
      <w:ind w:left="1470"/>
      <w:jc w:val="left"/>
    </w:pPr>
    <w:rPr>
      <w:rFonts w:ascii="Times New Roman" w:hAnsi="Times New Roman"/>
      <w:szCs w:val="21"/>
    </w:rPr>
  </w:style>
  <w:style w:type="paragraph" w:styleId="20">
    <w:name w:val="Date"/>
    <w:basedOn w:val="1"/>
    <w:next w:val="1"/>
    <w:link w:val="69"/>
    <w:qFormat/>
    <w:uiPriority w:val="0"/>
    <w:rPr>
      <w:rFonts w:ascii="Times New Roman" w:hAnsi="Times New Roman"/>
      <w:sz w:val="24"/>
      <w:szCs w:val="24"/>
    </w:rPr>
  </w:style>
  <w:style w:type="paragraph" w:styleId="21">
    <w:name w:val="Balloon Text"/>
    <w:basedOn w:val="1"/>
    <w:link w:val="66"/>
    <w:semiHidden/>
    <w:qFormat/>
    <w:uiPriority w:val="0"/>
    <w:rPr>
      <w:rFonts w:ascii="Times New Roman" w:hAnsi="Times New Roman"/>
      <w:sz w:val="18"/>
      <w:szCs w:val="18"/>
    </w:rPr>
  </w:style>
  <w:style w:type="paragraph" w:styleId="22">
    <w:name w:val="footer"/>
    <w:basedOn w:val="1"/>
    <w:link w:val="63"/>
    <w:qFormat/>
    <w:uiPriority w:val="99"/>
    <w:pPr>
      <w:tabs>
        <w:tab w:val="center" w:pos="4153"/>
        <w:tab w:val="right" w:pos="8306"/>
      </w:tabs>
      <w:snapToGrid w:val="0"/>
      <w:jc w:val="left"/>
    </w:pPr>
    <w:rPr>
      <w:rFonts w:ascii="Times New Roman" w:hAnsi="Times New Roman"/>
      <w:sz w:val="18"/>
      <w:szCs w:val="18"/>
    </w:rPr>
  </w:style>
  <w:style w:type="paragraph" w:styleId="23">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4">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25">
    <w:name w:val="toc 4"/>
    <w:basedOn w:val="1"/>
    <w:next w:val="1"/>
    <w:semiHidden/>
    <w:qFormat/>
    <w:uiPriority w:val="0"/>
    <w:pPr>
      <w:ind w:left="630"/>
      <w:jc w:val="left"/>
    </w:pPr>
    <w:rPr>
      <w:rFonts w:ascii="Times New Roman" w:hAnsi="Times New Roman"/>
      <w:szCs w:val="21"/>
    </w:rPr>
  </w:style>
  <w:style w:type="paragraph" w:styleId="26">
    <w:name w:val="List"/>
    <w:basedOn w:val="1"/>
    <w:qFormat/>
    <w:uiPriority w:val="0"/>
    <w:pPr>
      <w:ind w:left="200" w:hanging="200" w:hangingChars="200"/>
    </w:pPr>
    <w:rPr>
      <w:rFonts w:ascii="Times New Roman" w:hAnsi="Times New Roman"/>
      <w:szCs w:val="21"/>
    </w:rPr>
  </w:style>
  <w:style w:type="paragraph" w:styleId="27">
    <w:name w:val="toc 6"/>
    <w:basedOn w:val="1"/>
    <w:next w:val="1"/>
    <w:semiHidden/>
    <w:qFormat/>
    <w:uiPriority w:val="0"/>
    <w:pPr>
      <w:ind w:left="1050"/>
      <w:jc w:val="left"/>
    </w:pPr>
    <w:rPr>
      <w:rFonts w:ascii="Times New Roman" w:hAnsi="Times New Roman"/>
      <w:szCs w:val="21"/>
    </w:rPr>
  </w:style>
  <w:style w:type="paragraph" w:styleId="28">
    <w:name w:val="Body Text Indent 3"/>
    <w:basedOn w:val="1"/>
    <w:link w:val="67"/>
    <w:qFormat/>
    <w:uiPriority w:val="0"/>
    <w:pPr>
      <w:ind w:left="645" w:firstLine="645"/>
    </w:pPr>
    <w:rPr>
      <w:rFonts w:ascii="Arial" w:hAnsi="Arial" w:eastAsia="仿宋_GB2312" w:cs="Arial"/>
      <w:color w:val="FFFF00"/>
      <w:sz w:val="32"/>
      <w:szCs w:val="32"/>
    </w:rPr>
  </w:style>
  <w:style w:type="paragraph" w:styleId="29">
    <w:name w:val="toc 2"/>
    <w:basedOn w:val="1"/>
    <w:next w:val="1"/>
    <w:semiHidden/>
    <w:qFormat/>
    <w:uiPriority w:val="0"/>
    <w:pPr>
      <w:ind w:left="210"/>
      <w:jc w:val="left"/>
    </w:pPr>
    <w:rPr>
      <w:rFonts w:ascii="Times New Roman" w:hAnsi="Times New Roman"/>
      <w:smallCaps/>
      <w:szCs w:val="24"/>
    </w:rPr>
  </w:style>
  <w:style w:type="paragraph" w:styleId="30">
    <w:name w:val="toc 9"/>
    <w:basedOn w:val="1"/>
    <w:next w:val="1"/>
    <w:semiHidden/>
    <w:qFormat/>
    <w:uiPriority w:val="0"/>
    <w:pPr>
      <w:ind w:left="1680"/>
      <w:jc w:val="left"/>
    </w:pPr>
    <w:rPr>
      <w:rFonts w:ascii="Times New Roman" w:hAnsi="Times New Roman"/>
      <w:szCs w:val="21"/>
    </w:rPr>
  </w:style>
  <w:style w:type="paragraph" w:styleId="31">
    <w:name w:val="Body Text 2"/>
    <w:basedOn w:val="1"/>
    <w:link w:val="64"/>
    <w:qFormat/>
    <w:uiPriority w:val="0"/>
    <w:pPr>
      <w:widowControl/>
      <w:jc w:val="center"/>
    </w:pPr>
    <w:rPr>
      <w:rFonts w:ascii="楷体_GB2312" w:hAnsi="Times New Roman" w:eastAsia="楷体_GB2312"/>
      <w:sz w:val="28"/>
      <w:szCs w:val="28"/>
    </w:rPr>
  </w:style>
  <w:style w:type="paragraph" w:styleId="32">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semiHidden/>
    <w:qFormat/>
    <w:uiPriority w:val="0"/>
    <w:pPr>
      <w:spacing w:line="240" w:lineRule="atLeast"/>
    </w:pPr>
    <w:rPr>
      <w:rFonts w:ascii="Times New Roman" w:hAnsi="Times New Roman"/>
      <w:b/>
      <w:bCs/>
      <w:szCs w:val="21"/>
    </w:rPr>
  </w:style>
  <w:style w:type="paragraph" w:styleId="35">
    <w:name w:val="annotation subject"/>
    <w:basedOn w:val="11"/>
    <w:next w:val="11"/>
    <w:link w:val="59"/>
    <w:semiHidden/>
    <w:qFormat/>
    <w:uiPriority w:val="0"/>
    <w:rPr>
      <w:rFonts w:ascii="Times New Roman" w:hAnsi="Times New Roman"/>
      <w:b/>
      <w:bCs/>
      <w:szCs w:val="21"/>
    </w:rPr>
  </w:style>
  <w:style w:type="table" w:styleId="37">
    <w:name w:val="Table Grid"/>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semiHidden/>
    <w:qFormat/>
    <w:uiPriority w:val="0"/>
    <w:rPr>
      <w:sz w:val="21"/>
      <w:szCs w:val="21"/>
    </w:rPr>
  </w:style>
  <w:style w:type="character" w:customStyle="1" w:styleId="44">
    <w:name w:val="标题 1 字符"/>
    <w:basedOn w:val="38"/>
    <w:link w:val="3"/>
    <w:qFormat/>
    <w:uiPriority w:val="0"/>
    <w:rPr>
      <w:rFonts w:ascii="楷体_GB2312" w:hAnsi="Times New Roman" w:eastAsia="楷体_GB2312" w:cs="Times New Roman"/>
      <w:sz w:val="28"/>
      <w:szCs w:val="28"/>
    </w:rPr>
  </w:style>
  <w:style w:type="character" w:customStyle="1" w:styleId="45">
    <w:name w:val="标题 2 字符"/>
    <w:basedOn w:val="38"/>
    <w:link w:val="4"/>
    <w:qFormat/>
    <w:uiPriority w:val="0"/>
    <w:rPr>
      <w:rFonts w:ascii="Arial" w:hAnsi="Arial" w:eastAsia="幼圆" w:cs="Arial"/>
      <w:b/>
      <w:bCs/>
      <w:sz w:val="44"/>
      <w:szCs w:val="44"/>
    </w:rPr>
  </w:style>
  <w:style w:type="character" w:customStyle="1" w:styleId="46">
    <w:name w:val="标题 3 字符"/>
    <w:basedOn w:val="38"/>
    <w:link w:val="6"/>
    <w:qFormat/>
    <w:uiPriority w:val="0"/>
    <w:rPr>
      <w:rFonts w:ascii="Times New Roman" w:hAnsi="Times New Roman" w:eastAsia="宋体" w:cs="Times New Roman"/>
      <w:b/>
      <w:bCs/>
      <w:sz w:val="32"/>
      <w:szCs w:val="32"/>
    </w:rPr>
  </w:style>
  <w:style w:type="character" w:customStyle="1" w:styleId="47">
    <w:name w:val="标题 4 字符"/>
    <w:basedOn w:val="38"/>
    <w:link w:val="7"/>
    <w:qFormat/>
    <w:uiPriority w:val="0"/>
    <w:rPr>
      <w:rFonts w:ascii="Arial" w:hAnsi="Arial" w:eastAsia="黑体" w:cs="Arial"/>
      <w:b/>
      <w:bCs/>
      <w:sz w:val="28"/>
      <w:szCs w:val="28"/>
    </w:rPr>
  </w:style>
  <w:style w:type="character" w:customStyle="1" w:styleId="48">
    <w:name w:val="标题 5 字符"/>
    <w:basedOn w:val="38"/>
    <w:link w:val="8"/>
    <w:qFormat/>
    <w:uiPriority w:val="0"/>
    <w:rPr>
      <w:rFonts w:ascii="宋体" w:hAnsi="Times New Roman" w:eastAsia="宋体" w:cs="Times New Roman"/>
      <w:color w:val="000000"/>
      <w:kern w:val="0"/>
      <w:sz w:val="28"/>
      <w:szCs w:val="28"/>
    </w:rPr>
  </w:style>
  <w:style w:type="character" w:customStyle="1" w:styleId="49">
    <w:name w:val="正文缩进 字符"/>
    <w:link w:val="5"/>
    <w:qFormat/>
    <w:uiPriority w:val="0"/>
    <w:rPr>
      <w:rFonts w:ascii="Times New Roman" w:hAnsi="Times New Roman" w:eastAsia="Times New Roman" w:cs="Times New Roman"/>
      <w:szCs w:val="21"/>
      <w:lang w:val="en-US" w:eastAsia="zh-CN"/>
    </w:rPr>
  </w:style>
  <w:style w:type="character" w:customStyle="1" w:styleId="50">
    <w:name w:val="二级目录 Char"/>
    <w:link w:val="51"/>
    <w:qFormat/>
    <w:uiPriority w:val="0"/>
    <w:rPr>
      <w:b/>
      <w:sz w:val="30"/>
      <w:szCs w:val="28"/>
    </w:rPr>
  </w:style>
  <w:style w:type="paragraph" w:customStyle="1" w:styleId="51">
    <w:name w:val="二级目录"/>
    <w:next w:val="1"/>
    <w:link w:val="50"/>
    <w:qFormat/>
    <w:uiPriority w:val="0"/>
    <w:pPr>
      <w:numPr>
        <w:ilvl w:val="0"/>
        <w:numId w:val="1"/>
      </w:numPr>
      <w:tabs>
        <w:tab w:val="left" w:pos="1145"/>
      </w:tabs>
      <w:outlineLvl w:val="1"/>
    </w:pPr>
    <w:rPr>
      <w:rFonts w:asciiTheme="minorHAnsi" w:hAnsiTheme="minorHAnsi" w:eastAsiaTheme="minorEastAsia" w:cstheme="minorBidi"/>
      <w:b/>
      <w:kern w:val="2"/>
      <w:sz w:val="30"/>
      <w:szCs w:val="28"/>
      <w:lang w:val="en-US" w:eastAsia="zh-CN" w:bidi="ar-SA"/>
    </w:rPr>
  </w:style>
  <w:style w:type="character" w:customStyle="1" w:styleId="52">
    <w:name w:val="列出段落 Char"/>
    <w:link w:val="53"/>
    <w:qFormat/>
    <w:locked/>
    <w:uiPriority w:val="0"/>
    <w:rPr>
      <w:rFonts w:ascii="Calibri" w:hAnsi="Calibri"/>
      <w:sz w:val="24"/>
      <w:szCs w:val="24"/>
      <w:lang w:eastAsia="en-US" w:bidi="en-US"/>
    </w:rPr>
  </w:style>
  <w:style w:type="paragraph" w:customStyle="1" w:styleId="53">
    <w:name w:val="列出段落1"/>
    <w:basedOn w:val="1"/>
    <w:link w:val="52"/>
    <w:qFormat/>
    <w:uiPriority w:val="0"/>
    <w:pPr>
      <w:widowControl/>
      <w:ind w:left="720"/>
      <w:contextualSpacing/>
      <w:jc w:val="left"/>
    </w:pPr>
    <w:rPr>
      <w:rFonts w:eastAsiaTheme="minorEastAsia" w:cstheme="minorBidi"/>
      <w:sz w:val="24"/>
      <w:szCs w:val="24"/>
      <w:lang w:eastAsia="en-US" w:bidi="en-US"/>
    </w:rPr>
  </w:style>
  <w:style w:type="character" w:customStyle="1" w:styleId="54">
    <w:name w:val="正文缩进2格 Char"/>
    <w:basedOn w:val="38"/>
    <w:link w:val="55"/>
    <w:qFormat/>
    <w:uiPriority w:val="0"/>
    <w:rPr>
      <w:rFonts w:ascii="仿宋_GB2312" w:hAnsi="宋体" w:eastAsia="仿宋_GB231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cstheme="minorBidi"/>
      <w:sz w:val="31"/>
      <w:szCs w:val="28"/>
    </w:rPr>
  </w:style>
  <w:style w:type="character" w:customStyle="1" w:styleId="56">
    <w:name w:val="正文文本 字符"/>
    <w:basedOn w:val="38"/>
    <w:link w:val="13"/>
    <w:qFormat/>
    <w:uiPriority w:val="0"/>
    <w:rPr>
      <w:rFonts w:ascii="楷体_GB2312" w:hAnsi="Arial" w:eastAsia="楷体_GB2312" w:cs="Times New Roman"/>
      <w:sz w:val="28"/>
      <w:szCs w:val="28"/>
    </w:rPr>
  </w:style>
  <w:style w:type="character" w:customStyle="1" w:styleId="57">
    <w:name w:val="文档结构图 字符"/>
    <w:basedOn w:val="38"/>
    <w:link w:val="10"/>
    <w:semiHidden/>
    <w:qFormat/>
    <w:uiPriority w:val="0"/>
    <w:rPr>
      <w:rFonts w:ascii="Times New Roman" w:hAnsi="Times New Roman" w:eastAsia="宋体" w:cs="Times New Roman"/>
      <w:szCs w:val="21"/>
      <w:shd w:val="clear" w:color="auto" w:fill="000080"/>
    </w:rPr>
  </w:style>
  <w:style w:type="character" w:customStyle="1" w:styleId="58">
    <w:name w:val="批注文字 字符"/>
    <w:basedOn w:val="38"/>
    <w:link w:val="11"/>
    <w:semiHidden/>
    <w:qFormat/>
    <w:uiPriority w:val="0"/>
    <w:rPr>
      <w:rFonts w:ascii="Calibri" w:hAnsi="Calibri" w:eastAsia="宋体" w:cs="Times New Roman"/>
    </w:rPr>
  </w:style>
  <w:style w:type="character" w:customStyle="1" w:styleId="59">
    <w:name w:val="批注主题 字符"/>
    <w:basedOn w:val="58"/>
    <w:link w:val="35"/>
    <w:semiHidden/>
    <w:qFormat/>
    <w:uiPriority w:val="0"/>
    <w:rPr>
      <w:rFonts w:ascii="Times New Roman" w:hAnsi="Times New Roman" w:eastAsia="宋体" w:cs="Times New Roman"/>
      <w:b/>
      <w:bCs/>
      <w:szCs w:val="21"/>
    </w:rPr>
  </w:style>
  <w:style w:type="character" w:customStyle="1" w:styleId="60">
    <w:name w:val="正文文本 3 字符"/>
    <w:basedOn w:val="38"/>
    <w:link w:val="12"/>
    <w:qFormat/>
    <w:uiPriority w:val="0"/>
    <w:rPr>
      <w:rFonts w:ascii="仿宋_GB2312" w:hAnsi="Arial" w:eastAsia="仿宋_GB2312" w:cs="Times New Roman"/>
      <w:sz w:val="32"/>
      <w:szCs w:val="32"/>
    </w:rPr>
  </w:style>
  <w:style w:type="character" w:customStyle="1" w:styleId="61">
    <w:name w:val="正文文本缩进 字符"/>
    <w:basedOn w:val="38"/>
    <w:link w:val="14"/>
    <w:qFormat/>
    <w:uiPriority w:val="0"/>
    <w:rPr>
      <w:rFonts w:ascii="楷体_GB2312" w:hAnsi="Times New Roman" w:eastAsia="楷体_GB2312" w:cs="Times New Roman"/>
      <w:sz w:val="32"/>
      <w:szCs w:val="32"/>
    </w:rPr>
  </w:style>
  <w:style w:type="character" w:customStyle="1" w:styleId="62">
    <w:name w:val="正文文本缩进 2 字符"/>
    <w:basedOn w:val="38"/>
    <w:link w:val="2"/>
    <w:qFormat/>
    <w:uiPriority w:val="0"/>
    <w:rPr>
      <w:rFonts w:ascii="Arial" w:hAnsi="Arial" w:eastAsia="仿宋_GB2312" w:cs="Arial"/>
      <w:sz w:val="32"/>
      <w:szCs w:val="32"/>
    </w:rPr>
  </w:style>
  <w:style w:type="character" w:customStyle="1" w:styleId="63">
    <w:name w:val="页脚 字符"/>
    <w:basedOn w:val="38"/>
    <w:link w:val="22"/>
    <w:qFormat/>
    <w:uiPriority w:val="99"/>
    <w:rPr>
      <w:rFonts w:ascii="Times New Roman" w:hAnsi="Times New Roman" w:eastAsia="宋体" w:cs="Times New Roman"/>
      <w:sz w:val="18"/>
      <w:szCs w:val="18"/>
    </w:rPr>
  </w:style>
  <w:style w:type="character" w:customStyle="1" w:styleId="64">
    <w:name w:val="正文文本 2 字符"/>
    <w:basedOn w:val="38"/>
    <w:link w:val="31"/>
    <w:qFormat/>
    <w:uiPriority w:val="0"/>
    <w:rPr>
      <w:rFonts w:ascii="楷体_GB2312" w:hAnsi="Times New Roman" w:eastAsia="楷体_GB2312" w:cs="Times New Roman"/>
      <w:sz w:val="28"/>
      <w:szCs w:val="28"/>
    </w:rPr>
  </w:style>
  <w:style w:type="character" w:customStyle="1" w:styleId="65">
    <w:name w:val="纯文本 字符"/>
    <w:basedOn w:val="38"/>
    <w:link w:val="18"/>
    <w:qFormat/>
    <w:uiPriority w:val="0"/>
    <w:rPr>
      <w:rFonts w:ascii="宋体" w:hAnsi="Courier New" w:eastAsia="宋体" w:cs="Courier New"/>
      <w:szCs w:val="21"/>
    </w:rPr>
  </w:style>
  <w:style w:type="character" w:customStyle="1" w:styleId="66">
    <w:name w:val="批注框文本 字符"/>
    <w:basedOn w:val="38"/>
    <w:link w:val="21"/>
    <w:semiHidden/>
    <w:qFormat/>
    <w:uiPriority w:val="0"/>
    <w:rPr>
      <w:rFonts w:ascii="Times New Roman" w:hAnsi="Times New Roman" w:eastAsia="宋体" w:cs="Times New Roman"/>
      <w:sz w:val="18"/>
      <w:szCs w:val="18"/>
    </w:rPr>
  </w:style>
  <w:style w:type="character" w:customStyle="1" w:styleId="67">
    <w:name w:val="正文文本缩进 3 字符"/>
    <w:basedOn w:val="38"/>
    <w:link w:val="28"/>
    <w:qFormat/>
    <w:uiPriority w:val="0"/>
    <w:rPr>
      <w:rFonts w:ascii="Arial" w:hAnsi="Arial" w:eastAsia="仿宋_GB2312" w:cs="Arial"/>
      <w:color w:val="FFFF00"/>
      <w:sz w:val="32"/>
      <w:szCs w:val="32"/>
    </w:rPr>
  </w:style>
  <w:style w:type="character" w:customStyle="1" w:styleId="68">
    <w:name w:val="页眉 字符"/>
    <w:basedOn w:val="38"/>
    <w:link w:val="23"/>
    <w:qFormat/>
    <w:uiPriority w:val="0"/>
    <w:rPr>
      <w:rFonts w:ascii="Times New Roman" w:hAnsi="Times New Roman" w:eastAsia="宋体" w:cs="Times New Roman"/>
      <w:sz w:val="18"/>
      <w:szCs w:val="18"/>
    </w:rPr>
  </w:style>
  <w:style w:type="character" w:customStyle="1" w:styleId="69">
    <w:name w:val="日期 字符"/>
    <w:basedOn w:val="38"/>
    <w:link w:val="20"/>
    <w:qFormat/>
    <w:uiPriority w:val="0"/>
    <w:rPr>
      <w:rFonts w:ascii="Times New Roman" w:hAnsi="Times New Roman" w:eastAsia="宋体" w:cs="Times New Roman"/>
      <w:sz w:val="24"/>
      <w:szCs w:val="24"/>
    </w:rPr>
  </w:style>
  <w:style w:type="paragraph" w:customStyle="1" w:styleId="7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7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2">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73">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7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75">
    <w:name w:val="Char"/>
    <w:basedOn w:val="10"/>
    <w:qFormat/>
    <w:uiPriority w:val="0"/>
    <w:rPr>
      <w:rFonts w:ascii="Tahoma" w:hAnsi="Tahoma"/>
      <w:sz w:val="24"/>
      <w:szCs w:val="24"/>
    </w:rPr>
  </w:style>
  <w:style w:type="paragraph" w:customStyle="1" w:styleId="76">
    <w:name w:val="Char Char Char Char"/>
    <w:basedOn w:val="10"/>
    <w:qFormat/>
    <w:uiPriority w:val="0"/>
    <w:pPr>
      <w:adjustRightInd w:val="0"/>
      <w:snapToGrid w:val="0"/>
      <w:spacing w:line="360" w:lineRule="auto"/>
    </w:pPr>
    <w:rPr>
      <w:rFonts w:ascii="Tahoma" w:hAnsi="Tahoma"/>
      <w:sz w:val="24"/>
      <w:szCs w:val="24"/>
    </w:rPr>
  </w:style>
  <w:style w:type="paragraph" w:styleId="77">
    <w:name w:val="List Paragraph"/>
    <w:basedOn w:val="1"/>
    <w:qFormat/>
    <w:uiPriority w:val="0"/>
    <w:pPr>
      <w:widowControl/>
      <w:ind w:left="720"/>
      <w:contextualSpacing/>
      <w:jc w:val="left"/>
    </w:pPr>
    <w:rPr>
      <w:kern w:val="0"/>
      <w:sz w:val="24"/>
      <w:szCs w:val="24"/>
      <w:lang w:eastAsia="en-US" w:bidi="en-US"/>
    </w:rPr>
  </w:style>
  <w:style w:type="paragraph" w:customStyle="1" w:styleId="78">
    <w:name w:val="Char1"/>
    <w:basedOn w:val="1"/>
    <w:qFormat/>
    <w:uiPriority w:val="0"/>
    <w:pPr>
      <w:tabs>
        <w:tab w:val="left" w:pos="360"/>
      </w:tabs>
      <w:ind w:firstLine="200" w:firstLineChars="200"/>
    </w:pPr>
    <w:rPr>
      <w:rFonts w:ascii="Times New Roman" w:hAnsi="Times New Roman"/>
      <w:sz w:val="28"/>
      <w:szCs w:val="30"/>
    </w:rPr>
  </w:style>
  <w:style w:type="character" w:customStyle="1" w:styleId="79">
    <w:name w:val="HTML 预设格式 字符"/>
    <w:basedOn w:val="38"/>
    <w:link w:val="32"/>
    <w:qFormat/>
    <w:uiPriority w:val="0"/>
    <w:rPr>
      <w:rFonts w:ascii="黑体" w:hAnsi="Courier New" w:eastAsia="黑体" w:cs="Courier New"/>
      <w:kern w:val="0"/>
      <w:sz w:val="20"/>
      <w:szCs w:val="20"/>
    </w:rPr>
  </w:style>
  <w:style w:type="paragraph" w:customStyle="1" w:styleId="80">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81">
    <w:name w:val="默认段落字体 Para Char Char Char Char Char Char Char Char Char1 Char Char Char Char Char Char Char"/>
    <w:basedOn w:val="10"/>
    <w:qFormat/>
    <w:uiPriority w:val="0"/>
    <w:rPr>
      <w:rFonts w:ascii="Tahoma" w:hAnsi="Tahoma"/>
      <w:sz w:val="24"/>
      <w:szCs w:val="24"/>
    </w:rPr>
  </w:style>
  <w:style w:type="paragraph" w:customStyle="1" w:styleId="82">
    <w:name w:val="标题2"/>
    <w:basedOn w:val="1"/>
    <w:next w:val="1"/>
    <w:qFormat/>
    <w:uiPriority w:val="0"/>
    <w:pPr>
      <w:jc w:val="center"/>
    </w:pPr>
    <w:rPr>
      <w:rFonts w:ascii="Times New Roman" w:hAnsi="Times New Roman" w:eastAsia="方正楷体_GBK"/>
      <w:szCs w:val="24"/>
    </w:rPr>
  </w:style>
  <w:style w:type="character" w:customStyle="1" w:styleId="83">
    <w:name w:val="jj1"/>
    <w:qFormat/>
    <w:uiPriority w:val="0"/>
    <w:rPr>
      <w:sz w:val="20"/>
      <w:szCs w:val="20"/>
      <w:u w:val="none"/>
    </w:rPr>
  </w:style>
  <w:style w:type="character" w:customStyle="1" w:styleId="84">
    <w:name w:val="标题2 Char"/>
    <w:qFormat/>
    <w:uiPriority w:val="0"/>
    <w:rPr>
      <w:rFonts w:ascii="方正楷体_GBK" w:hAnsi="Book Antiqua" w:eastAsia="方正楷体_GBK"/>
      <w:snapToGrid w:val="0"/>
      <w:sz w:val="32"/>
      <w:lang w:val="en-US" w:eastAsia="zh-CN" w:bidi="ar-SA"/>
    </w:rPr>
  </w:style>
  <w:style w:type="paragraph" w:customStyle="1" w:styleId="8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7">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88">
    <w:name w:val="BioQuote Tekst"/>
    <w:basedOn w:val="1"/>
    <w:qFormat/>
    <w:uiPriority w:val="0"/>
    <w:pPr>
      <w:ind w:right="-1"/>
    </w:pPr>
    <w:rPr>
      <w:rFonts w:ascii="Arial" w:hAnsi="Arial"/>
      <w:snapToGrid w:val="0"/>
      <w:kern w:val="0"/>
      <w:sz w:val="22"/>
      <w:szCs w:val="20"/>
      <w:lang w:eastAsia="en-US"/>
    </w:rPr>
  </w:style>
  <w:style w:type="paragraph" w:customStyle="1" w:styleId="89">
    <w:name w:val="Coms Alinea"/>
    <w:qFormat/>
    <w:uiPriority w:val="0"/>
    <w:pPr>
      <w:widowControl w:val="0"/>
    </w:pPr>
    <w:rPr>
      <w:rFonts w:ascii="Arial" w:hAnsi="Arial" w:eastAsia="宋体" w:cs="Arial"/>
      <w:lang w:val="en-US" w:eastAsia="zh-CN" w:bidi="ar-SA"/>
    </w:rPr>
  </w:style>
  <w:style w:type="paragraph" w:customStyle="1" w:styleId="90">
    <w:name w:val="Char Char Char Char1 Char Char Char"/>
    <w:basedOn w:val="10"/>
    <w:qFormat/>
    <w:uiPriority w:val="0"/>
    <w:pPr>
      <w:adjustRightInd w:val="0"/>
      <w:snapToGrid w:val="0"/>
      <w:spacing w:line="360" w:lineRule="auto"/>
    </w:pPr>
    <w:rPr>
      <w:rFonts w:ascii="Tahoma" w:hAnsi="Tahoma"/>
      <w:sz w:val="24"/>
      <w:szCs w:val="24"/>
    </w:rPr>
  </w:style>
  <w:style w:type="paragraph" w:customStyle="1" w:styleId="91">
    <w:name w:val="Char Char Char Char1 Char Char"/>
    <w:basedOn w:val="1"/>
    <w:qFormat/>
    <w:uiPriority w:val="0"/>
    <w:pPr>
      <w:tabs>
        <w:tab w:val="left" w:pos="360"/>
      </w:tabs>
    </w:pPr>
    <w:rPr>
      <w:rFonts w:ascii="Times New Roman" w:hAnsi="Times New Roman"/>
      <w:sz w:val="24"/>
      <w:szCs w:val="24"/>
    </w:rPr>
  </w:style>
  <w:style w:type="paragraph" w:customStyle="1" w:styleId="92">
    <w:name w:val="正文 第一章"/>
    <w:basedOn w:val="1"/>
    <w:next w:val="93"/>
    <w:qFormat/>
    <w:uiPriority w:val="0"/>
    <w:pPr>
      <w:pageBreakBefore/>
      <w:numPr>
        <w:ilvl w:val="0"/>
        <w:numId w:val="2"/>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93">
    <w:name w:val="正文 1.1"/>
    <w:basedOn w:val="1"/>
    <w:next w:val="94"/>
    <w:qFormat/>
    <w:uiPriority w:val="0"/>
    <w:pPr>
      <w:numPr>
        <w:ilvl w:val="1"/>
        <w:numId w:val="2"/>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94">
    <w:name w:val="正文 1.1.1"/>
    <w:basedOn w:val="1"/>
    <w:next w:val="1"/>
    <w:qFormat/>
    <w:uiPriority w:val="0"/>
    <w:pPr>
      <w:numPr>
        <w:ilvl w:val="2"/>
        <w:numId w:val="2"/>
      </w:numPr>
      <w:adjustRightInd w:val="0"/>
      <w:spacing w:line="360" w:lineRule="auto"/>
      <w:textAlignment w:val="baseline"/>
      <w:outlineLvl w:val="2"/>
    </w:pPr>
    <w:rPr>
      <w:rFonts w:ascii="宋体" w:hAnsi="宋体"/>
      <w:color w:val="000000"/>
      <w:kern w:val="0"/>
      <w:sz w:val="28"/>
      <w:szCs w:val="21"/>
    </w:rPr>
  </w:style>
  <w:style w:type="paragraph" w:customStyle="1" w:styleId="95">
    <w:name w:val="第四级"/>
    <w:basedOn w:val="1"/>
    <w:next w:val="1"/>
    <w:qFormat/>
    <w:uiPriority w:val="0"/>
    <w:pPr>
      <w:numPr>
        <w:ilvl w:val="3"/>
        <w:numId w:val="2"/>
      </w:numPr>
      <w:adjustRightInd w:val="0"/>
      <w:spacing w:line="360" w:lineRule="auto"/>
      <w:textAlignment w:val="baseline"/>
    </w:pPr>
    <w:rPr>
      <w:rFonts w:ascii="宋体" w:hAnsi="宋体" w:eastAsia="仿宋"/>
      <w:kern w:val="0"/>
      <w:sz w:val="28"/>
      <w:szCs w:val="21"/>
    </w:rPr>
  </w:style>
  <w:style w:type="paragraph" w:customStyle="1" w:styleId="96">
    <w:name w:val="列出段落2"/>
    <w:basedOn w:val="1"/>
    <w:qFormat/>
    <w:uiPriority w:val="0"/>
    <w:pPr>
      <w:ind w:firstLine="420" w:firstLineChars="200"/>
    </w:pPr>
    <w:rPr>
      <w:rFonts w:cs="Calibri"/>
      <w:szCs w:val="21"/>
    </w:rPr>
  </w:style>
  <w:style w:type="paragraph" w:customStyle="1" w:styleId="9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F3D8-4D3F-42D7-8D28-8098B1DA2926}">
  <ds:schemaRefs/>
</ds:datastoreItem>
</file>

<file path=docProps/app.xml><?xml version="1.0" encoding="utf-8"?>
<Properties xmlns="http://schemas.openxmlformats.org/officeDocument/2006/extended-properties" xmlns:vt="http://schemas.openxmlformats.org/officeDocument/2006/docPropsVTypes">
  <Template>Normal</Template>
  <Pages>36</Pages>
  <Words>2945</Words>
  <Characters>16792</Characters>
  <Lines>139</Lines>
  <Paragraphs>39</Paragraphs>
  <TotalTime>17</TotalTime>
  <ScaleCrop>false</ScaleCrop>
  <LinksUpToDate>false</LinksUpToDate>
  <CharactersWithSpaces>19698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2023-07-25T07:58:00Z</dcterms:created>
  <dc:creator>wangyuejun</dc:creator>
  <cp:lastModifiedBy>孙妍</cp:lastModifiedBy>
  <cp:lastPrinted>2023-06-16T05:27:00Z</cp:lastPrinted>
  <dcterms:modified xsi:type="dcterms:W3CDTF">2023-09-01T07:16:56Z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8B1EEA10203445839F54DA22FE6073B6_13</vt:lpwstr>
  </property>
</Properties>
</file>