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Cs/>
          <w:sz w:val="36"/>
          <w:szCs w:val="36"/>
        </w:rPr>
      </w:pPr>
      <w:r>
        <w:rPr>
          <w:rFonts w:hint="eastAsia" w:ascii="宋体" w:hAnsi="宋体" w:eastAsia="宋体" w:cs="宋体"/>
          <w:bCs/>
          <w:sz w:val="36"/>
          <w:szCs w:val="36"/>
        </w:rPr>
        <w:t>项目需求</w:t>
      </w:r>
    </w:p>
    <w:p>
      <w:pPr>
        <w:spacing w:line="4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snapToGrid w:val="0"/>
        <w:spacing w:line="500" w:lineRule="exact"/>
        <w:ind w:firstLine="562" w:firstLineChars="200"/>
        <w:contextualSpacing/>
        <w:rPr>
          <w:rFonts w:hint="eastAsia" w:ascii="宋体" w:hAnsi="宋体" w:eastAsia="宋体" w:cs="宋体"/>
          <w:b/>
          <w:sz w:val="28"/>
          <w:szCs w:val="28"/>
        </w:rPr>
      </w:pPr>
      <w:r>
        <w:rPr>
          <w:rFonts w:hint="eastAsia" w:ascii="宋体" w:hAnsi="宋体" w:eastAsia="宋体" w:cs="宋体"/>
          <w:b/>
          <w:bCs/>
          <w:sz w:val="28"/>
          <w:szCs w:val="28"/>
        </w:rPr>
        <w:t>供应商不能简单照搬照抄</w:t>
      </w:r>
      <w:r>
        <w:rPr>
          <w:rFonts w:hint="eastAsia" w:ascii="宋体" w:hAnsi="宋体" w:eastAsia="宋体" w:cs="宋体"/>
          <w:b/>
          <w:bCs/>
          <w:sz w:val="28"/>
          <w:szCs w:val="28"/>
          <w:lang w:eastAsia="zh-CN"/>
        </w:rPr>
        <w:t>招标</w:t>
      </w:r>
      <w:r>
        <w:rPr>
          <w:rFonts w:hint="eastAsia" w:ascii="宋体" w:hAnsi="宋体" w:eastAsia="宋体" w:cs="宋体"/>
          <w:b/>
          <w:bCs/>
          <w:sz w:val="28"/>
          <w:szCs w:val="28"/>
        </w:rPr>
        <w:t>文件项目需求说明中的技术、商务要求，必须作实事求是的响应。如供应商提供的货物和服务同采购人提出的项目需求说明中的技术、商务要求不同的，必须在《商务部分正负偏离表》和《技术部分正负偏离表》上明示。</w:t>
      </w:r>
    </w:p>
    <w:p>
      <w:pPr>
        <w:adjustRightInd w:val="0"/>
        <w:snapToGrid w:val="0"/>
        <w:spacing w:line="460" w:lineRule="exact"/>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一、采购标的需实现的功能或者目标, 以及为落实采购政策需满足的要求</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1.本项目总预算为11万元，最终报价超过采购总预算为无效响应文件。</w:t>
      </w:r>
    </w:p>
    <w:p>
      <w:pPr>
        <w:widowControl/>
        <w:spacing w:line="460" w:lineRule="exact"/>
        <w:ind w:firstLine="560" w:firstLineChars="200"/>
        <w:jc w:val="left"/>
        <w:rPr>
          <w:rFonts w:hint="eastAsia" w:ascii="宋体" w:hAnsi="宋体" w:eastAsia="宋体" w:cs="宋体"/>
          <w:b/>
          <w:bCs/>
          <w:color w:val="000000"/>
          <w:kern w:val="0"/>
          <w:sz w:val="28"/>
          <w:szCs w:val="28"/>
          <w:lang w:bidi="ar"/>
        </w:rPr>
      </w:pPr>
      <w:r>
        <w:rPr>
          <w:rFonts w:hint="eastAsia" w:ascii="宋体" w:hAnsi="宋体" w:eastAsia="宋体" w:cs="宋体"/>
          <w:color w:val="000000"/>
          <w:kern w:val="0"/>
          <w:sz w:val="28"/>
          <w:szCs w:val="28"/>
          <w:lang w:val="en-US" w:eastAsia="zh-CN" w:bidi="ar"/>
        </w:rPr>
        <w:t>2.本项目报价为人民币报价，报价应包括但不限于以下全部费用：货物及配件提供、场地设计费、施工设备费、机械费、设施费、劳务费、基本劳动保险金、检测费、环保检测费、检验(报检）费、设备验收费用、材料费、安装费、运输费、装卸费、临时工程费(包括基座、配电改造费等）、缺陷修理费、场地修复费用、管理费、利润、税金、所有一般风险、责任和业务费用，以及安装调试、验收费、培训、技术服务(包括技术资料、图纸的提供）、中标服务费、合同见证费、安装场地清理费、不可预见费等完成本招标内容所需的一切费用。</w:t>
      </w:r>
    </w:p>
    <w:p>
      <w:pPr>
        <w:widowControl/>
        <w:spacing w:line="460" w:lineRule="exact"/>
        <w:ind w:firstLine="562" w:firstLineChars="2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二</w:t>
      </w:r>
      <w:r>
        <w:rPr>
          <w:rFonts w:hint="eastAsia" w:ascii="宋体" w:hAnsi="宋体" w:eastAsia="宋体" w:cs="宋体"/>
          <w:b/>
          <w:bCs/>
          <w:color w:val="000000"/>
          <w:kern w:val="0"/>
          <w:sz w:val="28"/>
          <w:szCs w:val="28"/>
          <w:lang w:bidi="ar"/>
        </w:rPr>
        <w:t>、采购清单</w:t>
      </w:r>
      <w:r>
        <w:rPr>
          <w:rFonts w:hint="eastAsia" w:ascii="宋体" w:hAnsi="宋体" w:eastAsia="宋体" w:cs="宋体"/>
          <w:b/>
          <w:bCs/>
          <w:color w:val="000000"/>
          <w:kern w:val="0"/>
          <w:sz w:val="28"/>
          <w:szCs w:val="28"/>
          <w:lang w:val="en-US" w:eastAsia="zh-CN" w:bidi="ar"/>
        </w:rPr>
        <w:t>及</w:t>
      </w:r>
      <w:r>
        <w:rPr>
          <w:rFonts w:hint="eastAsia" w:ascii="宋体" w:hAnsi="宋体" w:eastAsia="宋体" w:cs="宋体"/>
          <w:b/>
          <w:bCs/>
          <w:color w:val="000000"/>
          <w:kern w:val="0"/>
          <w:sz w:val="28"/>
          <w:szCs w:val="28"/>
          <w:lang w:bidi="ar"/>
        </w:rPr>
        <w:t>技术及配置要求</w:t>
      </w:r>
    </w:p>
    <w:tbl>
      <w:tblPr>
        <w:tblStyle w:val="2"/>
        <w:tblW w:w="8281" w:type="dxa"/>
        <w:jc w:val="center"/>
        <w:tblLayout w:type="fixed"/>
        <w:tblCellMar>
          <w:top w:w="0" w:type="dxa"/>
          <w:left w:w="0" w:type="dxa"/>
          <w:bottom w:w="0" w:type="dxa"/>
          <w:right w:w="0" w:type="dxa"/>
        </w:tblCellMar>
      </w:tblPr>
      <w:tblGrid>
        <w:gridCol w:w="891"/>
        <w:gridCol w:w="1904"/>
        <w:gridCol w:w="1455"/>
        <w:gridCol w:w="4031"/>
      </w:tblGrid>
      <w:tr>
        <w:tblPrEx>
          <w:tblCellMar>
            <w:top w:w="0" w:type="dxa"/>
            <w:left w:w="0" w:type="dxa"/>
            <w:bottom w:w="0" w:type="dxa"/>
            <w:right w:w="0" w:type="dxa"/>
          </w:tblCellMar>
        </w:tblPrEx>
        <w:trPr>
          <w:trHeight w:val="190" w:hRule="atLeast"/>
          <w:jc w:val="center"/>
        </w:trPr>
        <w:tc>
          <w:tcPr>
            <w:tcW w:w="891" w:type="dxa"/>
            <w:tcBorders>
              <w:top w:val="single" w:color="000000" w:sz="8" w:space="0"/>
              <w:left w:val="single" w:color="000000" w:sz="8" w:space="0"/>
              <w:bottom w:val="single" w:color="auto" w:sz="8" w:space="0"/>
              <w:right w:val="single" w:color="000000" w:sz="8" w:space="0"/>
            </w:tcBorders>
            <w:noWrap w:val="0"/>
            <w:tcMar>
              <w:top w:w="15" w:type="dxa"/>
              <w:left w:w="15" w:type="dxa"/>
              <w:right w:w="15" w:type="dxa"/>
            </w:tcMar>
            <w:vAlign w:val="center"/>
          </w:tcPr>
          <w:p>
            <w:pPr>
              <w:widowControl/>
              <w:spacing w:line="460" w:lineRule="exact"/>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序号</w:t>
            </w:r>
          </w:p>
        </w:tc>
        <w:tc>
          <w:tcPr>
            <w:tcW w:w="1904" w:type="dxa"/>
            <w:tcBorders>
              <w:top w:val="single" w:color="auto" w:sz="8" w:space="0"/>
              <w:left w:val="nil"/>
              <w:bottom w:val="single" w:color="auto" w:sz="8" w:space="0"/>
              <w:right w:val="single" w:color="auto" w:sz="8" w:space="0"/>
            </w:tcBorders>
            <w:noWrap w:val="0"/>
            <w:tcMar>
              <w:top w:w="15" w:type="dxa"/>
              <w:left w:w="15" w:type="dxa"/>
              <w:right w:w="15" w:type="dxa"/>
            </w:tcMar>
            <w:vAlign w:val="center"/>
          </w:tcPr>
          <w:p>
            <w:pPr>
              <w:widowControl/>
              <w:spacing w:line="460" w:lineRule="exact"/>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项目</w:t>
            </w:r>
          </w:p>
        </w:tc>
        <w:tc>
          <w:tcPr>
            <w:tcW w:w="1455" w:type="dxa"/>
            <w:tcBorders>
              <w:top w:val="single" w:color="auto" w:sz="8" w:space="0"/>
              <w:left w:val="nil"/>
              <w:bottom w:val="single" w:color="auto" w:sz="8" w:space="0"/>
              <w:right w:val="single" w:color="auto" w:sz="8" w:space="0"/>
            </w:tcBorders>
            <w:noWrap w:val="0"/>
            <w:tcMar>
              <w:top w:w="15" w:type="dxa"/>
              <w:left w:w="15" w:type="dxa"/>
              <w:right w:w="15" w:type="dxa"/>
            </w:tcMar>
            <w:vAlign w:val="center"/>
          </w:tcPr>
          <w:p>
            <w:pPr>
              <w:widowControl/>
              <w:spacing w:line="460" w:lineRule="exact"/>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数量（套）</w:t>
            </w:r>
          </w:p>
        </w:tc>
        <w:tc>
          <w:tcPr>
            <w:tcW w:w="4031" w:type="dxa"/>
            <w:tcBorders>
              <w:top w:val="single" w:color="auto" w:sz="8" w:space="0"/>
              <w:left w:val="nil"/>
              <w:bottom w:val="single" w:color="auto" w:sz="8" w:space="0"/>
              <w:right w:val="single" w:color="auto" w:sz="8" w:space="0"/>
            </w:tcBorders>
            <w:noWrap w:val="0"/>
            <w:tcMar>
              <w:top w:w="15" w:type="dxa"/>
              <w:left w:w="15" w:type="dxa"/>
              <w:right w:w="15" w:type="dxa"/>
            </w:tcMar>
            <w:vAlign w:val="center"/>
          </w:tcPr>
          <w:p>
            <w:pPr>
              <w:widowControl/>
              <w:spacing w:line="460" w:lineRule="exact"/>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主要技术规格</w:t>
            </w:r>
          </w:p>
        </w:tc>
      </w:tr>
      <w:tr>
        <w:tblPrEx>
          <w:tblCellMar>
            <w:top w:w="0" w:type="dxa"/>
            <w:left w:w="0" w:type="dxa"/>
            <w:bottom w:w="0" w:type="dxa"/>
            <w:right w:w="0" w:type="dxa"/>
          </w:tblCellMar>
        </w:tblPrEx>
        <w:trPr>
          <w:trHeight w:val="285" w:hRule="atLeast"/>
          <w:jc w:val="center"/>
        </w:trPr>
        <w:tc>
          <w:tcPr>
            <w:tcW w:w="891" w:type="dxa"/>
            <w:tcBorders>
              <w:top w:val="single" w:color="auto" w:sz="8" w:space="0"/>
              <w:left w:val="single" w:color="auto" w:sz="8" w:space="0"/>
              <w:bottom w:val="single" w:color="auto" w:sz="8" w:space="0"/>
              <w:right w:val="single" w:color="auto" w:sz="8" w:space="0"/>
            </w:tcBorders>
            <w:shd w:val="clear" w:color="auto" w:fill="auto"/>
            <w:noWrap w:val="0"/>
            <w:tcMar>
              <w:top w:w="15" w:type="dxa"/>
              <w:left w:w="15" w:type="dxa"/>
              <w:right w:w="15" w:type="dxa"/>
            </w:tcMar>
            <w:vAlign w:val="center"/>
          </w:tcPr>
          <w:p>
            <w:pPr>
              <w:widowControl/>
              <w:spacing w:line="460" w:lineRule="exact"/>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w:t>
            </w:r>
          </w:p>
        </w:tc>
        <w:tc>
          <w:tcPr>
            <w:tcW w:w="1904" w:type="dxa"/>
            <w:tcBorders>
              <w:top w:val="single" w:color="auto" w:sz="8" w:space="0"/>
              <w:left w:val="single" w:color="auto" w:sz="8" w:space="0"/>
              <w:bottom w:val="single" w:color="auto" w:sz="8" w:space="0"/>
              <w:right w:val="single" w:color="auto" w:sz="8" w:space="0"/>
            </w:tcBorders>
            <w:shd w:val="clear" w:color="auto" w:fill="auto"/>
            <w:noWrap w:val="0"/>
            <w:tcMar>
              <w:top w:w="15" w:type="dxa"/>
              <w:left w:w="15" w:type="dxa"/>
              <w:right w:w="15" w:type="dxa"/>
            </w:tcMar>
            <w:vAlign w:val="center"/>
          </w:tcPr>
          <w:p>
            <w:pPr>
              <w:widowControl/>
              <w:spacing w:line="460" w:lineRule="exact"/>
              <w:jc w:val="left"/>
              <w:rPr>
                <w:rFonts w:hint="eastAsia" w:ascii="宋体" w:hAnsi="宋体" w:eastAsia="宋体" w:cs="宋体"/>
                <w:color w:val="000000"/>
                <w:kern w:val="0"/>
                <w:sz w:val="24"/>
                <w:lang w:eastAsia="zh-CN" w:bidi="ar"/>
              </w:rPr>
            </w:pPr>
            <w:r>
              <w:rPr>
                <w:rFonts w:hint="eastAsia" w:ascii="宋体" w:hAnsi="宋体" w:eastAsia="宋体" w:cs="宋体"/>
                <w:szCs w:val="21"/>
              </w:rPr>
              <w:t>体外除颤监护仪</w:t>
            </w:r>
          </w:p>
        </w:tc>
        <w:tc>
          <w:tcPr>
            <w:tcW w:w="1455" w:type="dxa"/>
            <w:tcBorders>
              <w:top w:val="single" w:color="auto" w:sz="8" w:space="0"/>
              <w:left w:val="single" w:color="auto" w:sz="8" w:space="0"/>
              <w:bottom w:val="single" w:color="auto" w:sz="8" w:space="0"/>
              <w:right w:val="single" w:color="auto" w:sz="8" w:space="0"/>
            </w:tcBorders>
            <w:shd w:val="clear" w:color="auto" w:fill="FFFFFF"/>
            <w:noWrap w:val="0"/>
            <w:tcMar>
              <w:top w:w="15" w:type="dxa"/>
              <w:left w:w="15" w:type="dxa"/>
              <w:right w:w="15" w:type="dxa"/>
            </w:tcMar>
            <w:vAlign w:val="center"/>
          </w:tcPr>
          <w:p>
            <w:pPr>
              <w:widowControl/>
              <w:spacing w:line="460" w:lineRule="exact"/>
              <w:jc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val="en-US" w:eastAsia="zh-CN" w:bidi="ar"/>
              </w:rPr>
              <w:t>2</w:t>
            </w:r>
          </w:p>
        </w:tc>
        <w:tc>
          <w:tcPr>
            <w:tcW w:w="4031" w:type="dxa"/>
            <w:tcBorders>
              <w:top w:val="single" w:color="auto" w:sz="8" w:space="0"/>
              <w:left w:val="single" w:color="auto" w:sz="8" w:space="0"/>
              <w:bottom w:val="single" w:color="auto" w:sz="8" w:space="0"/>
              <w:right w:val="single" w:color="auto" w:sz="8" w:space="0"/>
            </w:tcBorders>
            <w:shd w:val="clear" w:color="auto" w:fill="FFFFFF"/>
            <w:noWrap w:val="0"/>
            <w:tcMar>
              <w:top w:w="15" w:type="dxa"/>
              <w:left w:w="15" w:type="dxa"/>
              <w:right w:w="15" w:type="dxa"/>
            </w:tcMar>
            <w:vAlign w:val="center"/>
          </w:tcPr>
          <w:p>
            <w:pPr>
              <w:widowControl/>
              <w:spacing w:line="460" w:lineRule="exact"/>
              <w:jc w:val="left"/>
              <w:rPr>
                <w:rFonts w:hint="eastAsia" w:ascii="宋体" w:hAnsi="宋体" w:eastAsia="宋体" w:cs="宋体"/>
                <w:sz w:val="24"/>
                <w:szCs w:val="24"/>
                <w:lang w:val="en-US" w:eastAsia="zh-CN"/>
              </w:rPr>
            </w:pPr>
            <w:r>
              <w:rPr>
                <w:rFonts w:hint="eastAsia" w:ascii="宋体" w:hAnsi="宋体" w:eastAsia="宋体" w:cs="宋体"/>
                <w:szCs w:val="21"/>
              </w:rPr>
              <w:t>标配：ECG、RESP、SPO2、NIBP</w:t>
            </w:r>
            <w:r>
              <w:rPr>
                <w:rFonts w:hint="eastAsia" w:ascii="宋体" w:hAnsi="宋体" w:eastAsia="宋体" w:cs="宋体"/>
                <w:szCs w:val="21"/>
                <w:lang w:eastAsia="zh-CN"/>
              </w:rPr>
              <w:t>、</w:t>
            </w:r>
            <w:r>
              <w:rPr>
                <w:rFonts w:hint="eastAsia" w:ascii="宋体" w:hAnsi="宋体" w:eastAsia="宋体" w:cs="宋体"/>
                <w:szCs w:val="21"/>
              </w:rPr>
              <w:t>TEMP</w:t>
            </w:r>
          </w:p>
        </w:tc>
      </w:tr>
    </w:tbl>
    <w:p>
      <w:pPr>
        <w:pStyle w:val="4"/>
        <w:numPr>
          <w:ilvl w:val="0"/>
          <w:numId w:val="0"/>
        </w:numPr>
        <w:spacing w:line="276" w:lineRule="auto"/>
        <w:ind w:leftChars="0" w:firstLine="482" w:firstLineChars="200"/>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一</w:t>
      </w:r>
      <w:r>
        <w:rPr>
          <w:rFonts w:hint="eastAsia" w:ascii="宋体" w:hAnsi="宋体" w:eastAsia="宋体" w:cs="宋体"/>
          <w:b/>
          <w:sz w:val="24"/>
          <w:szCs w:val="24"/>
          <w:lang w:eastAsia="zh-CN"/>
        </w:rPr>
        <w:t>）</w:t>
      </w:r>
      <w:r>
        <w:rPr>
          <w:rFonts w:hint="eastAsia" w:ascii="宋体" w:hAnsi="宋体" w:eastAsia="宋体" w:cs="宋体"/>
          <w:b/>
          <w:sz w:val="24"/>
          <w:szCs w:val="24"/>
        </w:rPr>
        <w:t>除颤规格</w:t>
      </w:r>
    </w:p>
    <w:p>
      <w:pPr>
        <w:pStyle w:val="5"/>
        <w:keepNext w:val="0"/>
        <w:keepLines w:val="0"/>
        <w:pageBreakBefore w:val="0"/>
        <w:kinsoku/>
        <w:wordWrap/>
        <w:overflowPunct/>
        <w:topLinePunct w:val="0"/>
        <w:bidi w:val="0"/>
        <w:snapToGrid/>
        <w:spacing w:line="276"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 除颤模式：手动异步除颤、同步除颤和AED除颤模式；</w:t>
      </w:r>
    </w:p>
    <w:p>
      <w:pPr>
        <w:pStyle w:val="5"/>
        <w:keepNext w:val="0"/>
        <w:keepLines w:val="0"/>
        <w:pageBreakBefore w:val="0"/>
        <w:kinsoku/>
        <w:wordWrap/>
        <w:overflowPunct/>
        <w:topLinePunct w:val="0"/>
        <w:bidi w:val="0"/>
        <w:snapToGrid/>
        <w:spacing w:line="276"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 除颤波形：双相指数截断（BTE）波形，波形参数可根据病人阻抗进行自动补偿；</w:t>
      </w:r>
    </w:p>
    <w:p>
      <w:pPr>
        <w:pStyle w:val="5"/>
        <w:keepNext w:val="0"/>
        <w:keepLines w:val="0"/>
        <w:pageBreakBefore w:val="0"/>
        <w:kinsoku/>
        <w:wordWrap/>
        <w:overflowPunct/>
        <w:topLinePunct w:val="0"/>
        <w:bidi w:val="0"/>
        <w:snapToGrid/>
        <w:spacing w:line="276"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 支持电极类型：体外除颤电极板、多功能电极片和体内除颤电极板，其中体外电极板为成人/小儿多功能一体型；</w:t>
      </w:r>
    </w:p>
    <w:p>
      <w:pPr>
        <w:pStyle w:val="5"/>
        <w:keepNext w:val="0"/>
        <w:keepLines w:val="0"/>
        <w:pageBreakBefore w:val="0"/>
        <w:kinsoku/>
        <w:wordWrap/>
        <w:overflowPunct/>
        <w:topLinePunct w:val="0"/>
        <w:bidi w:val="0"/>
        <w:snapToGrid/>
        <w:spacing w:line="276"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 体外电极板控制和指示：除颤监护仪的体外电极板具有支持充电、放电、能量选择等操作功能，具备充电完成指示灯；</w:t>
      </w:r>
    </w:p>
    <w:p>
      <w:pPr>
        <w:pStyle w:val="5"/>
        <w:keepNext w:val="0"/>
        <w:keepLines w:val="0"/>
        <w:pageBreakBefore w:val="0"/>
        <w:kinsoku/>
        <w:wordWrap/>
        <w:overflowPunct/>
        <w:topLinePunct w:val="0"/>
        <w:bidi w:val="0"/>
        <w:snapToGrid/>
        <w:spacing w:line="276"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 能量选择范围1-360J；</w:t>
      </w:r>
    </w:p>
    <w:p>
      <w:pPr>
        <w:pStyle w:val="5"/>
        <w:keepNext w:val="0"/>
        <w:keepLines w:val="0"/>
        <w:pageBreakBefore w:val="0"/>
        <w:kinsoku/>
        <w:wordWrap/>
        <w:overflowPunct/>
        <w:topLinePunct w:val="0"/>
        <w:bidi w:val="0"/>
        <w:snapToGrid/>
        <w:spacing w:line="276"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 病人阻抗范围：体外除颤：20~250欧；体内除颤：15-250欧；</w:t>
      </w:r>
    </w:p>
    <w:p>
      <w:pPr>
        <w:pStyle w:val="5"/>
        <w:keepNext w:val="0"/>
        <w:keepLines w:val="0"/>
        <w:pageBreakBefore w:val="0"/>
        <w:kinsoku/>
        <w:wordWrap/>
        <w:overflowPunct/>
        <w:topLinePunct w:val="0"/>
        <w:bidi w:val="0"/>
        <w:snapToGrid/>
        <w:spacing w:line="276"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 电池供电情况下除颤监护仪充电至200J小于5s，充电</w:t>
      </w:r>
      <w:r>
        <w:rPr>
          <w:rFonts w:hint="eastAsia" w:ascii="宋体" w:hAnsi="宋体" w:eastAsia="宋体" w:cs="宋体"/>
          <w:sz w:val="24"/>
          <w:szCs w:val="24"/>
          <w:lang w:val="en-US" w:eastAsia="zh-CN"/>
        </w:rPr>
        <w:t>至</w:t>
      </w:r>
      <w:r>
        <w:rPr>
          <w:rFonts w:hint="eastAsia" w:ascii="宋体" w:hAnsi="宋体" w:eastAsia="宋体" w:cs="宋体"/>
          <w:sz w:val="24"/>
          <w:szCs w:val="24"/>
        </w:rPr>
        <w:t xml:space="preserve">360J小于8s； </w:t>
      </w:r>
    </w:p>
    <w:p>
      <w:pPr>
        <w:pStyle w:val="5"/>
        <w:keepNext w:val="0"/>
        <w:keepLines w:val="0"/>
        <w:pageBreakBefore w:val="0"/>
        <w:kinsoku/>
        <w:wordWrap/>
        <w:overflowPunct/>
        <w:topLinePunct w:val="0"/>
        <w:bidi w:val="0"/>
        <w:snapToGrid/>
        <w:spacing w:line="276"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 交流电下除颤监护仪充电至200J小于7s，充电至360J小于11s；</w:t>
      </w:r>
    </w:p>
    <w:p>
      <w:pPr>
        <w:pStyle w:val="5"/>
        <w:keepNext w:val="0"/>
        <w:keepLines w:val="0"/>
        <w:pageBreakBefore w:val="0"/>
        <w:kinsoku/>
        <w:wordWrap/>
        <w:overflowPunct/>
        <w:topLinePunct w:val="0"/>
        <w:bidi w:val="0"/>
        <w:snapToGrid/>
        <w:spacing w:line="276"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9 AED电击能量：100～360J可设置，电击次数：1,2，3次可设置； </w:t>
      </w:r>
    </w:p>
    <w:p>
      <w:pPr>
        <w:pStyle w:val="4"/>
        <w:keepNext w:val="0"/>
        <w:keepLines w:val="0"/>
        <w:pageBreakBefore w:val="0"/>
        <w:numPr>
          <w:ilvl w:val="0"/>
          <w:numId w:val="0"/>
        </w:numPr>
        <w:kinsoku/>
        <w:wordWrap/>
        <w:overflowPunct/>
        <w:topLinePunct w:val="0"/>
        <w:bidi w:val="0"/>
        <w:snapToGrid/>
        <w:spacing w:line="276" w:lineRule="auto"/>
        <w:ind w:leftChars="200"/>
        <w:textAlignment w:val="auto"/>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w:t>
      </w:r>
      <w:r>
        <w:rPr>
          <w:rFonts w:hint="eastAsia" w:ascii="宋体" w:hAnsi="宋体" w:eastAsia="宋体" w:cs="宋体"/>
          <w:b/>
          <w:sz w:val="24"/>
          <w:szCs w:val="24"/>
        </w:rPr>
        <w:t>起搏</w:t>
      </w:r>
    </w:p>
    <w:p>
      <w:pPr>
        <w:pStyle w:val="5"/>
        <w:keepNext w:val="0"/>
        <w:keepLines w:val="0"/>
        <w:pageBreakBefore w:val="0"/>
        <w:kinsoku/>
        <w:wordWrap/>
        <w:overflowPunct/>
        <w:topLinePunct w:val="0"/>
        <w:bidi w:val="0"/>
        <w:snapToGrid/>
        <w:spacing w:line="276"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 起搏模式：固定起搏、按需起搏；</w:t>
      </w:r>
    </w:p>
    <w:p>
      <w:pPr>
        <w:pStyle w:val="5"/>
        <w:keepNext w:val="0"/>
        <w:keepLines w:val="0"/>
        <w:pageBreakBefore w:val="0"/>
        <w:kinsoku/>
        <w:wordWrap/>
        <w:overflowPunct/>
        <w:topLinePunct w:val="0"/>
        <w:bidi w:val="0"/>
        <w:snapToGrid/>
        <w:spacing w:line="276"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 起搏波形：单向方波脉冲，脉冲宽度为20ms±1.5ms；</w:t>
      </w:r>
    </w:p>
    <w:p>
      <w:pPr>
        <w:pStyle w:val="5"/>
        <w:keepNext w:val="0"/>
        <w:keepLines w:val="0"/>
        <w:pageBreakBefore w:val="0"/>
        <w:kinsoku/>
        <w:wordWrap/>
        <w:overflowPunct/>
        <w:topLinePunct w:val="0"/>
        <w:bidi w:val="0"/>
        <w:snapToGrid/>
        <w:spacing w:line="276"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 起搏电流：0mA~200mA；</w:t>
      </w:r>
    </w:p>
    <w:p>
      <w:pPr>
        <w:pStyle w:val="5"/>
        <w:keepNext w:val="0"/>
        <w:keepLines w:val="0"/>
        <w:pageBreakBefore w:val="0"/>
        <w:kinsoku/>
        <w:wordWrap/>
        <w:overflowPunct/>
        <w:topLinePunct w:val="0"/>
        <w:bidi w:val="0"/>
        <w:snapToGrid/>
        <w:spacing w:line="276"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 起搏频率：40-170bmp</w:t>
      </w:r>
    </w:p>
    <w:p>
      <w:pPr>
        <w:pStyle w:val="4"/>
        <w:keepNext w:val="0"/>
        <w:keepLines w:val="0"/>
        <w:pageBreakBefore w:val="0"/>
        <w:numPr>
          <w:ilvl w:val="0"/>
          <w:numId w:val="0"/>
        </w:numPr>
        <w:kinsoku/>
        <w:wordWrap/>
        <w:overflowPunct/>
        <w:topLinePunct w:val="0"/>
        <w:bidi w:val="0"/>
        <w:snapToGrid/>
        <w:spacing w:line="276" w:lineRule="auto"/>
        <w:ind w:leftChars="200"/>
        <w:textAlignment w:val="auto"/>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三</w:t>
      </w:r>
      <w:r>
        <w:rPr>
          <w:rFonts w:hint="eastAsia" w:ascii="宋体" w:hAnsi="宋体" w:eastAsia="宋体" w:cs="宋体"/>
          <w:b/>
          <w:sz w:val="24"/>
          <w:szCs w:val="24"/>
          <w:lang w:eastAsia="zh-CN"/>
        </w:rPr>
        <w:t>）</w:t>
      </w:r>
      <w:r>
        <w:rPr>
          <w:rFonts w:hint="eastAsia" w:ascii="宋体" w:hAnsi="宋体" w:eastAsia="宋体" w:cs="宋体"/>
          <w:b/>
          <w:sz w:val="24"/>
          <w:szCs w:val="24"/>
        </w:rPr>
        <w:t>监护规格</w:t>
      </w:r>
    </w:p>
    <w:p>
      <w:pPr>
        <w:keepNext w:val="0"/>
        <w:keepLines w:val="0"/>
        <w:pageBreakBefore w:val="0"/>
        <w:kinsoku/>
        <w:wordWrap/>
        <w:overflowPunct/>
        <w:topLinePunct w:val="0"/>
        <w:bidi w:val="0"/>
        <w:snapToGrid/>
        <w:spacing w:line="276"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标配：ECG、RESP、</w:t>
      </w:r>
      <w:r>
        <w:rPr>
          <w:rFonts w:hint="eastAsia" w:ascii="宋体" w:hAnsi="宋体" w:eastAsia="宋体" w:cs="宋体"/>
          <w:b/>
          <w:color w:val="000000"/>
          <w:kern w:val="0"/>
          <w:sz w:val="24"/>
          <w:szCs w:val="24"/>
        </w:rPr>
        <w:t>SPO2、NIBP</w:t>
      </w:r>
      <w:r>
        <w:rPr>
          <w:rFonts w:hint="eastAsia" w:ascii="宋体" w:hAnsi="宋体" w:eastAsia="宋体" w:cs="宋体"/>
          <w:b/>
          <w:color w:val="000000"/>
          <w:kern w:val="0"/>
          <w:sz w:val="24"/>
          <w:szCs w:val="24"/>
          <w:lang w:eastAsia="zh-CN"/>
        </w:rPr>
        <w:t>、</w:t>
      </w:r>
      <w:r>
        <w:rPr>
          <w:rFonts w:hint="eastAsia" w:ascii="宋体" w:hAnsi="宋体" w:eastAsia="宋体" w:cs="宋体"/>
          <w:b/>
          <w:color w:val="000000"/>
          <w:kern w:val="0"/>
          <w:sz w:val="24"/>
          <w:szCs w:val="24"/>
        </w:rPr>
        <w:t>TEMP</w:t>
      </w:r>
      <w:r>
        <w:rPr>
          <w:rFonts w:hint="eastAsia" w:ascii="宋体" w:hAnsi="宋体" w:eastAsia="宋体" w:cs="宋体"/>
          <w:b/>
          <w:sz w:val="24"/>
          <w:szCs w:val="24"/>
        </w:rPr>
        <w:t>；</w:t>
      </w:r>
    </w:p>
    <w:p>
      <w:pPr>
        <w:pStyle w:val="5"/>
        <w:keepNext w:val="0"/>
        <w:keepLines w:val="0"/>
        <w:pageBreakBefore w:val="0"/>
        <w:kinsoku/>
        <w:wordWrap/>
        <w:overflowPunct/>
        <w:topLinePunct w:val="0"/>
        <w:bidi w:val="0"/>
        <w:snapToGrid/>
        <w:spacing w:line="276" w:lineRule="auto"/>
        <w:ind w:firstLine="482" w:firstLineChars="200"/>
        <w:jc w:val="both"/>
        <w:textAlignment w:val="auto"/>
        <w:rPr>
          <w:rFonts w:hint="eastAsia" w:ascii="宋体" w:hAnsi="宋体" w:eastAsia="宋体" w:cs="宋体"/>
          <w:sz w:val="24"/>
          <w:szCs w:val="24"/>
        </w:rPr>
      </w:pPr>
      <w:r>
        <w:rPr>
          <w:rFonts w:hint="eastAsia" w:ascii="宋体" w:hAnsi="宋体" w:eastAsia="宋体" w:cs="宋体"/>
          <w:b/>
          <w:sz w:val="24"/>
          <w:szCs w:val="24"/>
        </w:rPr>
        <w:t>ECG</w:t>
      </w:r>
      <w:r>
        <w:rPr>
          <w:rFonts w:hint="eastAsia" w:ascii="宋体" w:hAnsi="宋体" w:eastAsia="宋体" w:cs="宋体"/>
          <w:sz w:val="24"/>
          <w:szCs w:val="24"/>
        </w:rPr>
        <w:t>：</w:t>
      </w:r>
    </w:p>
    <w:p>
      <w:pPr>
        <w:pStyle w:val="5"/>
        <w:keepNext w:val="0"/>
        <w:keepLines w:val="0"/>
        <w:pageBreakBefore w:val="0"/>
        <w:kinsoku/>
        <w:wordWrap/>
        <w:overflowPunct/>
        <w:topLinePunct w:val="0"/>
        <w:bidi w:val="0"/>
        <w:snapToGrid/>
        <w:spacing w:line="276"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支持3导ECG导联线、5导ECG导联线，12导ECG导联线，电极板和多功能电极片作为ECG输入来源</w:t>
      </w:r>
    </w:p>
    <w:p>
      <w:pPr>
        <w:pStyle w:val="5"/>
        <w:keepNext w:val="0"/>
        <w:keepLines w:val="0"/>
        <w:pageBreakBefore w:val="0"/>
        <w:kinsoku/>
        <w:wordWrap/>
        <w:overflowPunct/>
        <w:topLinePunct w:val="0"/>
        <w:bidi w:val="0"/>
        <w:snapToGrid/>
        <w:spacing w:line="276"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增益：自动, 1.25 mm/mV (×0.125), 2.5mm/mV (×0.25), 5 mm/mV (×0.5), 10 mm/mV (×1), 20 mm/mV (×2), 40 mm/mV (×4),</w:t>
      </w:r>
    </w:p>
    <w:p>
      <w:pPr>
        <w:pStyle w:val="5"/>
        <w:keepNext w:val="0"/>
        <w:keepLines w:val="0"/>
        <w:pageBreakBefore w:val="0"/>
        <w:kinsoku/>
        <w:wordWrap/>
        <w:overflowPunct/>
        <w:topLinePunct w:val="0"/>
        <w:bidi w:val="0"/>
        <w:snapToGrid/>
        <w:spacing w:line="276"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扫描速度：6.25 mm/s, 12.5 mm/s, 25 mm/s, 50 mm/s；</w:t>
      </w:r>
    </w:p>
    <w:p>
      <w:pPr>
        <w:pStyle w:val="5"/>
        <w:keepNext w:val="0"/>
        <w:keepLines w:val="0"/>
        <w:pageBreakBefore w:val="0"/>
        <w:kinsoku/>
        <w:wordWrap/>
        <w:overflowPunct/>
        <w:topLinePunct w:val="0"/>
        <w:bidi w:val="0"/>
        <w:snapToGrid/>
        <w:spacing w:line="276"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心率范围：成人：15～300bpm；</w:t>
      </w:r>
    </w:p>
    <w:p>
      <w:pPr>
        <w:pStyle w:val="5"/>
        <w:keepNext w:val="0"/>
        <w:keepLines w:val="0"/>
        <w:pageBreakBefore w:val="0"/>
        <w:kinsoku/>
        <w:wordWrap/>
        <w:overflowPunct/>
        <w:topLinePunct w:val="0"/>
        <w:bidi w:val="0"/>
        <w:snapToGrid/>
        <w:spacing w:line="276"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心律失常种类≥2</w:t>
      </w:r>
      <w:r>
        <w:rPr>
          <w:rFonts w:hint="eastAsia" w:ascii="宋体" w:hAnsi="宋体" w:eastAsia="宋体" w:cs="宋体"/>
          <w:sz w:val="24"/>
          <w:szCs w:val="24"/>
          <w:lang w:val="en-US" w:eastAsia="zh-CN"/>
        </w:rPr>
        <w:t>4</w:t>
      </w:r>
      <w:r>
        <w:rPr>
          <w:rFonts w:hint="eastAsia" w:ascii="宋体" w:hAnsi="宋体" w:eastAsia="宋体" w:cs="宋体"/>
          <w:sz w:val="24"/>
          <w:szCs w:val="24"/>
        </w:rPr>
        <w:t>种；</w:t>
      </w:r>
    </w:p>
    <w:p>
      <w:pPr>
        <w:keepNext w:val="0"/>
        <w:keepLines w:val="0"/>
        <w:pageBreakBefore w:val="0"/>
        <w:kinsoku/>
        <w:wordWrap/>
        <w:overflowPunct/>
        <w:topLinePunct w:val="0"/>
        <w:bidi w:val="0"/>
        <w:snapToGrid/>
        <w:spacing w:line="276"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SPO2</w:t>
      </w:r>
    </w:p>
    <w:p>
      <w:pPr>
        <w:pStyle w:val="4"/>
        <w:keepNext w:val="0"/>
        <w:keepLines w:val="0"/>
        <w:pageBreakBefore w:val="0"/>
        <w:numPr>
          <w:ilvl w:val="0"/>
          <w:numId w:val="0"/>
        </w:numPr>
        <w:kinsoku/>
        <w:wordWrap/>
        <w:overflowPunct/>
        <w:topLinePunct w:val="0"/>
        <w:bidi w:val="0"/>
        <w:snapToGrid/>
        <w:spacing w:line="276" w:lineRule="auto"/>
        <w:ind w:left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△血氧显示范围：0%～100%，精度：1%。</w:t>
      </w:r>
    </w:p>
    <w:p>
      <w:pPr>
        <w:pStyle w:val="4"/>
        <w:keepNext w:val="0"/>
        <w:keepLines w:val="0"/>
        <w:pageBreakBefore w:val="0"/>
        <w:numPr>
          <w:ilvl w:val="0"/>
          <w:numId w:val="0"/>
        </w:numPr>
        <w:kinsoku/>
        <w:wordWrap/>
        <w:overflowPunct/>
        <w:topLinePunct w:val="0"/>
        <w:bidi w:val="0"/>
        <w:snapToGrid/>
        <w:spacing w:line="276" w:lineRule="auto"/>
        <w:ind w:left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可显示灌注指数（PI），测量范围≥0.02-20％；</w:t>
      </w:r>
    </w:p>
    <w:p>
      <w:pPr>
        <w:keepNext w:val="0"/>
        <w:keepLines w:val="0"/>
        <w:pageBreakBefore w:val="0"/>
        <w:kinsoku/>
        <w:wordWrap/>
        <w:overflowPunct/>
        <w:topLinePunct w:val="0"/>
        <w:bidi w:val="0"/>
        <w:snapToGrid/>
        <w:spacing w:line="276" w:lineRule="auto"/>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NIBP</w:t>
      </w:r>
    </w:p>
    <w:p>
      <w:pPr>
        <w:pStyle w:val="4"/>
        <w:keepNext w:val="0"/>
        <w:keepLines w:val="0"/>
        <w:pageBreakBefore w:val="0"/>
        <w:numPr>
          <w:ilvl w:val="0"/>
          <w:numId w:val="0"/>
        </w:numPr>
        <w:kinsoku/>
        <w:wordWrap/>
        <w:overflowPunct/>
        <w:topLinePunct w:val="0"/>
        <w:bidi w:val="0"/>
        <w:snapToGrid/>
        <w:spacing w:line="276" w:lineRule="auto"/>
        <w:ind w:left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测量方式:;自动振荡法;</w:t>
      </w:r>
    </w:p>
    <w:p>
      <w:pPr>
        <w:pStyle w:val="4"/>
        <w:keepNext w:val="0"/>
        <w:keepLines w:val="0"/>
        <w:pageBreakBefore w:val="0"/>
        <w:numPr>
          <w:ilvl w:val="0"/>
          <w:numId w:val="0"/>
        </w:numPr>
        <w:kinsoku/>
        <w:wordWrap/>
        <w:overflowPunct/>
        <w:topLinePunct w:val="0"/>
        <w:bidi w:val="0"/>
        <w:snapToGrid/>
        <w:spacing w:line="276" w:lineRule="auto"/>
        <w:ind w:left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测量范围：</w:t>
      </w:r>
    </w:p>
    <w:p>
      <w:pPr>
        <w:pStyle w:val="4"/>
        <w:keepNext w:val="0"/>
        <w:keepLines w:val="0"/>
        <w:pageBreakBefore w:val="0"/>
        <w:numPr>
          <w:ilvl w:val="0"/>
          <w:numId w:val="0"/>
        </w:numPr>
        <w:kinsoku/>
        <w:wordWrap/>
        <w:overflowPunct/>
        <w:topLinePunct w:val="0"/>
        <w:bidi w:val="0"/>
        <w:snapToGrid/>
        <w:spacing w:line="276" w:lineRule="auto"/>
        <w:ind w:left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成人测量范围</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 xml:space="preserve">收缩压 </w:t>
      </w:r>
      <w:r>
        <w:rPr>
          <w:rFonts w:hint="eastAsia" w:ascii="宋体" w:hAnsi="宋体" w:eastAsia="宋体" w:cs="宋体"/>
          <w:kern w:val="0"/>
          <w:sz w:val="24"/>
          <w:szCs w:val="24"/>
          <w:lang w:val="en-US" w:eastAsia="zh-CN"/>
        </w:rPr>
        <w:t>25</w:t>
      </w:r>
      <w:r>
        <w:rPr>
          <w:rFonts w:hint="eastAsia" w:ascii="宋体" w:hAnsi="宋体" w:eastAsia="宋体" w:cs="宋体"/>
          <w:kern w:val="0"/>
          <w:sz w:val="24"/>
          <w:szCs w:val="24"/>
        </w:rPr>
        <w:t>mmHg -2</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0mmHg，舒张压 10 mmHg-2</w:t>
      </w:r>
      <w:r>
        <w:rPr>
          <w:rFonts w:hint="eastAsia" w:ascii="宋体" w:hAnsi="宋体" w:eastAsia="宋体" w:cs="宋体"/>
          <w:kern w:val="0"/>
          <w:sz w:val="24"/>
          <w:szCs w:val="24"/>
          <w:lang w:val="en-US" w:eastAsia="zh-CN"/>
        </w:rPr>
        <w:t>50</w:t>
      </w:r>
      <w:r>
        <w:rPr>
          <w:rFonts w:hint="eastAsia" w:ascii="宋体" w:hAnsi="宋体" w:eastAsia="宋体" w:cs="宋体"/>
          <w:kern w:val="0"/>
          <w:sz w:val="24"/>
          <w:szCs w:val="24"/>
        </w:rPr>
        <w:t>mmHg；</w:t>
      </w:r>
    </w:p>
    <w:p>
      <w:pPr>
        <w:pStyle w:val="4"/>
        <w:keepNext w:val="0"/>
        <w:keepLines w:val="0"/>
        <w:pageBreakBefore w:val="0"/>
        <w:numPr>
          <w:ilvl w:val="0"/>
          <w:numId w:val="0"/>
        </w:numPr>
        <w:kinsoku/>
        <w:wordWrap/>
        <w:overflowPunct/>
        <w:topLinePunct w:val="0"/>
        <w:bidi w:val="0"/>
        <w:snapToGrid/>
        <w:spacing w:line="276" w:lineRule="auto"/>
        <w:ind w:left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测量模式：手动、自动、连续；</w:t>
      </w:r>
    </w:p>
    <w:p>
      <w:pPr>
        <w:keepNext w:val="0"/>
        <w:keepLines w:val="0"/>
        <w:pageBreakBefore w:val="0"/>
        <w:kinsoku/>
        <w:wordWrap/>
        <w:overflowPunct/>
        <w:topLinePunct w:val="0"/>
        <w:bidi w:val="0"/>
        <w:snapToGrid/>
        <w:spacing w:line="276"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RESP：</w:t>
      </w:r>
    </w:p>
    <w:p>
      <w:pPr>
        <w:pStyle w:val="5"/>
        <w:keepNext w:val="0"/>
        <w:keepLines w:val="0"/>
        <w:pageBreakBefore w:val="0"/>
        <w:kinsoku/>
        <w:wordWrap/>
        <w:overflowPunct/>
        <w:topLinePunct w:val="0"/>
        <w:bidi w:val="0"/>
        <w:snapToGrid/>
        <w:spacing w:line="276"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测量方式：胸阻抗法；</w:t>
      </w:r>
    </w:p>
    <w:p>
      <w:pPr>
        <w:pStyle w:val="5"/>
        <w:keepNext w:val="0"/>
        <w:keepLines w:val="0"/>
        <w:pageBreakBefore w:val="0"/>
        <w:kinsoku/>
        <w:wordWrap/>
        <w:overflowPunct/>
        <w:topLinePunct w:val="0"/>
        <w:bidi w:val="0"/>
        <w:snapToGrid/>
        <w:spacing w:line="276"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测量范围：成人 0rpm-120rpm；</w:t>
      </w:r>
    </w:p>
    <w:p>
      <w:pPr>
        <w:pStyle w:val="5"/>
        <w:keepNext w:val="0"/>
        <w:keepLines w:val="0"/>
        <w:pageBreakBefore w:val="0"/>
        <w:kinsoku/>
        <w:wordWrap/>
        <w:overflowPunct/>
        <w:topLinePunct w:val="0"/>
        <w:bidi w:val="0"/>
        <w:snapToGrid/>
        <w:spacing w:line="276"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具有心动干扰（CVA）识别功能；</w:t>
      </w:r>
    </w:p>
    <w:p>
      <w:pPr>
        <w:pStyle w:val="5"/>
        <w:keepNext w:val="0"/>
        <w:keepLines w:val="0"/>
        <w:pageBreakBefore w:val="0"/>
        <w:kinsoku/>
        <w:wordWrap/>
        <w:overflowPunct/>
        <w:topLinePunct w:val="0"/>
        <w:bidi w:val="0"/>
        <w:snapToGrid/>
        <w:spacing w:line="276"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窒息时间：10s-1min；</w:t>
      </w:r>
    </w:p>
    <w:p>
      <w:pPr>
        <w:keepNext w:val="0"/>
        <w:keepLines w:val="0"/>
        <w:pageBreakBefore w:val="0"/>
        <w:kinsoku/>
        <w:wordWrap/>
        <w:overflowPunct/>
        <w:topLinePunct w:val="0"/>
        <w:bidi w:val="0"/>
        <w:snapToGrid/>
        <w:spacing w:line="276"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TEMP：</w:t>
      </w:r>
    </w:p>
    <w:p>
      <w:pPr>
        <w:pStyle w:val="5"/>
        <w:keepNext w:val="0"/>
        <w:keepLines w:val="0"/>
        <w:pageBreakBefore w:val="0"/>
        <w:kinsoku/>
        <w:wordWrap/>
        <w:overflowPunct/>
        <w:topLinePunct w:val="0"/>
        <w:bidi w:val="0"/>
        <w:snapToGrid/>
        <w:spacing w:line="276"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检测范围 0℃～50℃，精度±0.1℃</w:t>
      </w:r>
    </w:p>
    <w:p>
      <w:pPr>
        <w:pStyle w:val="5"/>
        <w:keepNext w:val="0"/>
        <w:keepLines w:val="0"/>
        <w:pageBreakBefore w:val="0"/>
        <w:kinsoku/>
        <w:wordWrap/>
        <w:overflowPunct/>
        <w:topLinePunct w:val="0"/>
        <w:bidi w:val="0"/>
        <w:snapToGrid/>
        <w:spacing w:line="276"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双通道；</w:t>
      </w:r>
    </w:p>
    <w:p>
      <w:pPr>
        <w:pStyle w:val="4"/>
        <w:keepNext w:val="0"/>
        <w:keepLines w:val="0"/>
        <w:pageBreakBefore w:val="0"/>
        <w:numPr>
          <w:ilvl w:val="0"/>
          <w:numId w:val="1"/>
        </w:numPr>
        <w:kinsoku/>
        <w:wordWrap/>
        <w:overflowPunct/>
        <w:topLinePunct w:val="0"/>
        <w:bidi w:val="0"/>
        <w:snapToGrid/>
        <w:spacing w:line="276"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（四）主机规</w:t>
      </w:r>
      <w:r>
        <w:rPr>
          <w:rFonts w:hint="eastAsia" w:ascii="宋体" w:hAnsi="宋体" w:eastAsia="宋体" w:cs="宋体"/>
          <w:sz w:val="24"/>
          <w:szCs w:val="24"/>
          <w:lang w:val="en-US" w:eastAsia="zh-CN"/>
        </w:rPr>
        <w:t>格及配件</w:t>
      </w:r>
    </w:p>
    <w:p>
      <w:pPr>
        <w:pStyle w:val="4"/>
        <w:keepNext w:val="0"/>
        <w:keepLines w:val="0"/>
        <w:pageBreakBefore w:val="0"/>
        <w:numPr>
          <w:ilvl w:val="0"/>
          <w:numId w:val="1"/>
        </w:numPr>
        <w:kinsoku/>
        <w:wordWrap/>
        <w:overflowPunct/>
        <w:topLinePunct w:val="0"/>
        <w:bidi w:val="0"/>
        <w:snapToGrid/>
        <w:spacing w:line="276"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屏幕尺寸≥8.4英寸</w:t>
      </w:r>
      <w:r>
        <w:rPr>
          <w:rFonts w:hint="eastAsia" w:ascii="宋体" w:hAnsi="宋体" w:eastAsia="宋体" w:cs="宋体"/>
          <w:sz w:val="24"/>
          <w:szCs w:val="24"/>
          <w:lang w:eastAsia="zh-CN"/>
        </w:rPr>
        <w:t>，</w:t>
      </w:r>
      <w:r>
        <w:rPr>
          <w:rFonts w:hint="eastAsia" w:ascii="宋体" w:hAnsi="宋体" w:eastAsia="宋体" w:cs="宋体"/>
          <w:sz w:val="24"/>
          <w:szCs w:val="24"/>
        </w:rPr>
        <w:t>屏幕分辨率≥800*600</w:t>
      </w:r>
    </w:p>
    <w:p>
      <w:pPr>
        <w:pStyle w:val="4"/>
        <w:keepNext w:val="0"/>
        <w:keepLines w:val="0"/>
        <w:pageBreakBefore w:val="0"/>
        <w:numPr>
          <w:ilvl w:val="0"/>
          <w:numId w:val="1"/>
        </w:numPr>
        <w:kinsoku/>
        <w:wordWrap/>
        <w:overflowPunct/>
        <w:topLinePunct w:val="0"/>
        <w:bidi w:val="0"/>
        <w:snapToGrid/>
        <w:spacing w:line="276"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△开机时间≤2s</w:t>
      </w:r>
      <w:r>
        <w:rPr>
          <w:rFonts w:hint="eastAsia" w:ascii="宋体" w:hAnsi="宋体" w:eastAsia="宋体" w:cs="宋体"/>
          <w:sz w:val="24"/>
          <w:szCs w:val="24"/>
          <w:lang w:eastAsia="zh-CN"/>
        </w:rPr>
        <w:t>，</w:t>
      </w:r>
      <w:r>
        <w:rPr>
          <w:rFonts w:hint="eastAsia" w:ascii="宋体" w:hAnsi="宋体" w:eastAsia="宋体" w:cs="宋体"/>
          <w:sz w:val="24"/>
          <w:szCs w:val="24"/>
        </w:rPr>
        <w:t>除颤后心电基线恢复时间≤2.5</w:t>
      </w:r>
      <w:r>
        <w:rPr>
          <w:rFonts w:hint="eastAsia" w:ascii="宋体" w:hAnsi="宋体" w:eastAsia="宋体" w:cs="宋体"/>
          <w:sz w:val="24"/>
          <w:szCs w:val="24"/>
          <w:lang w:val="en-US" w:eastAsia="zh-CN"/>
        </w:rPr>
        <w:t>s</w:t>
      </w:r>
    </w:p>
    <w:p>
      <w:pPr>
        <w:pStyle w:val="4"/>
        <w:keepNext w:val="0"/>
        <w:keepLines w:val="0"/>
        <w:pageBreakBefore w:val="0"/>
        <w:numPr>
          <w:ilvl w:val="0"/>
          <w:numId w:val="1"/>
        </w:numPr>
        <w:kinsoku/>
        <w:wordWrap/>
        <w:overflowPunct/>
        <w:topLinePunct w:val="0"/>
        <w:bidi w:val="0"/>
        <w:snapToGrid/>
        <w:spacing w:line="276"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电池工作时间</w:t>
      </w:r>
      <w:r>
        <w:rPr>
          <w:rFonts w:hint="eastAsia" w:ascii="宋体" w:hAnsi="宋体" w:eastAsia="宋体" w:cs="宋体"/>
          <w:color w:val="auto"/>
          <w:sz w:val="24"/>
          <w:szCs w:val="24"/>
        </w:rPr>
        <w:t>：</w:t>
      </w:r>
      <w:r>
        <w:rPr>
          <w:rFonts w:hint="eastAsia" w:ascii="宋体" w:hAnsi="宋体" w:eastAsia="宋体" w:cs="宋体"/>
          <w:sz w:val="24"/>
          <w:szCs w:val="24"/>
        </w:rPr>
        <w:t>监测模式≥12小时；除颤模式≥4</w:t>
      </w:r>
      <w:r>
        <w:rPr>
          <w:rFonts w:hint="eastAsia" w:ascii="宋体" w:hAnsi="宋体" w:eastAsia="宋体" w:cs="宋体"/>
          <w:sz w:val="24"/>
          <w:szCs w:val="24"/>
          <w:lang w:val="en-US" w:eastAsia="zh-CN"/>
        </w:rPr>
        <w:t>0</w:t>
      </w:r>
      <w:r>
        <w:rPr>
          <w:rFonts w:hint="eastAsia" w:ascii="宋体" w:hAnsi="宋体" w:eastAsia="宋体" w:cs="宋体"/>
          <w:sz w:val="24"/>
          <w:szCs w:val="24"/>
        </w:rPr>
        <w:t>0次；起搏模式≥</w:t>
      </w:r>
      <w:r>
        <w:rPr>
          <w:rFonts w:hint="eastAsia" w:ascii="宋体" w:hAnsi="宋体" w:eastAsia="宋体" w:cs="宋体"/>
          <w:sz w:val="24"/>
          <w:szCs w:val="24"/>
          <w:lang w:val="en-US" w:eastAsia="zh-CN"/>
        </w:rPr>
        <w:t>8</w:t>
      </w:r>
      <w:r>
        <w:rPr>
          <w:rFonts w:hint="eastAsia" w:ascii="宋体" w:hAnsi="宋体" w:eastAsia="宋体" w:cs="宋体"/>
          <w:sz w:val="24"/>
          <w:szCs w:val="24"/>
        </w:rPr>
        <w:t>小时</w:t>
      </w:r>
    </w:p>
    <w:p>
      <w:pPr>
        <w:pStyle w:val="4"/>
        <w:keepNext w:val="0"/>
        <w:keepLines w:val="0"/>
        <w:pageBreakBefore w:val="0"/>
        <w:numPr>
          <w:ilvl w:val="0"/>
          <w:numId w:val="1"/>
        </w:numPr>
        <w:kinsoku/>
        <w:wordWrap/>
        <w:overflowPunct/>
        <w:topLinePunct w:val="0"/>
        <w:bidi w:val="0"/>
        <w:snapToGrid/>
        <w:spacing w:line="276"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数据存储</w:t>
      </w: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0小时趋势图和趋势表、≥200条参数报警事件、≥2000组血压数据、≥120小时全息波形</w:t>
      </w:r>
    </w:p>
    <w:p>
      <w:pPr>
        <w:widowControl/>
        <w:spacing w:line="460" w:lineRule="exact"/>
        <w:ind w:firstLine="562" w:firstLineChars="200"/>
        <w:jc w:val="left"/>
        <w:rPr>
          <w:rFonts w:hint="eastAsia"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val="en-US" w:eastAsia="zh-CN" w:bidi="ar"/>
        </w:rPr>
        <w:t>三</w:t>
      </w:r>
      <w:r>
        <w:rPr>
          <w:rFonts w:hint="eastAsia" w:ascii="宋体" w:hAnsi="宋体" w:eastAsia="宋体" w:cs="宋体"/>
          <w:b/>
          <w:bCs/>
          <w:color w:val="000000"/>
          <w:kern w:val="0"/>
          <w:sz w:val="28"/>
          <w:szCs w:val="28"/>
          <w:lang w:bidi="ar"/>
        </w:rPr>
        <w:t xml:space="preserve">、交货期及交货地点 </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eastAsia="zh-CN" w:bidi="ar"/>
        </w:rPr>
        <w:t>.1</w:t>
      </w:r>
      <w:r>
        <w:rPr>
          <w:rFonts w:hint="eastAsia" w:ascii="宋体" w:hAnsi="宋体" w:eastAsia="宋体" w:cs="宋体"/>
          <w:color w:val="000000"/>
          <w:kern w:val="0"/>
          <w:sz w:val="28"/>
          <w:szCs w:val="28"/>
          <w:lang w:bidi="ar"/>
        </w:rPr>
        <w:t xml:space="preserve"> 交货期：自合同签订生效之日起 </w:t>
      </w: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 xml:space="preserve">0 天内到货并安装调试完毕。 </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eastAsia="zh-CN" w:bidi="ar"/>
        </w:rPr>
        <w:t>.2</w:t>
      </w:r>
      <w:r>
        <w:rPr>
          <w:rFonts w:hint="eastAsia" w:ascii="宋体" w:hAnsi="宋体" w:eastAsia="宋体" w:cs="宋体"/>
          <w:color w:val="000000"/>
          <w:kern w:val="0"/>
          <w:sz w:val="28"/>
          <w:szCs w:val="28"/>
          <w:lang w:bidi="ar"/>
        </w:rPr>
        <w:t xml:space="preserve"> 交货地点：采购人指定地点（南通市红星路5号）。 </w:t>
      </w:r>
    </w:p>
    <w:p>
      <w:pPr>
        <w:widowControl/>
        <w:spacing w:line="460" w:lineRule="exact"/>
        <w:ind w:firstLine="562" w:firstLineChars="200"/>
        <w:jc w:val="left"/>
        <w:rPr>
          <w:rFonts w:hint="eastAsia"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val="en-US" w:eastAsia="zh-CN" w:bidi="ar"/>
        </w:rPr>
        <w:t>四</w:t>
      </w:r>
      <w:r>
        <w:rPr>
          <w:rFonts w:hint="eastAsia" w:ascii="宋体" w:hAnsi="宋体" w:eastAsia="宋体" w:cs="宋体"/>
          <w:b/>
          <w:bCs/>
          <w:color w:val="000000"/>
          <w:kern w:val="0"/>
          <w:sz w:val="28"/>
          <w:szCs w:val="28"/>
          <w:lang w:bidi="ar"/>
        </w:rPr>
        <w:t xml:space="preserve">、质量要求、包装要求及售后服务 </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eastAsia="zh-CN" w:bidi="ar"/>
        </w:rPr>
        <w:t>.1</w:t>
      </w:r>
      <w:r>
        <w:rPr>
          <w:rFonts w:hint="eastAsia" w:ascii="宋体" w:hAnsi="宋体" w:eastAsia="宋体" w:cs="宋体"/>
          <w:color w:val="000000"/>
          <w:kern w:val="0"/>
          <w:sz w:val="28"/>
          <w:szCs w:val="28"/>
          <w:lang w:bidi="ar"/>
        </w:rPr>
        <w:t xml:space="preserve"> 质量要求： </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eastAsia="zh-CN" w:bidi="ar"/>
        </w:rPr>
        <w:t>.1</w:t>
      </w:r>
      <w:r>
        <w:rPr>
          <w:rFonts w:hint="eastAsia" w:ascii="宋体" w:hAnsi="宋体" w:eastAsia="宋体" w:cs="宋体"/>
          <w:color w:val="000000"/>
          <w:kern w:val="0"/>
          <w:sz w:val="28"/>
          <w:szCs w:val="28"/>
          <w:lang w:bidi="ar"/>
        </w:rPr>
        <w:t xml:space="preserve">.1 中标人必须提供全新的原厂货物。项目质量控制标准：本项目要求严格按照国家有关设备安装及验收规范、技术标准进行安装施工，符合国家颁发的有关质量验评标准，质量等级为合格。 </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bidi="ar"/>
        </w:rPr>
        <w:t xml:space="preserve">4.2 包装要求： </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bidi="ar"/>
        </w:rPr>
        <w:t xml:space="preserve">4.2.1 除合同另有规定外，中标人提供的全部货物均应按标准保护措施进行包装。该包装应适应于远距离运输、防潮、防震、防锈和防野蛮装卸，以确保货物安全无损运抵指定地点。由于包装不善所引起的货物损失均由中标人承担。 </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bidi="ar"/>
        </w:rPr>
        <w:t xml:space="preserve">4.3 售后服务 </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bidi="ar"/>
        </w:rPr>
        <w:t>4.</w:t>
      </w: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eastAsia="zh-CN" w:bidi="ar"/>
        </w:rPr>
        <w:t>.1</w:t>
      </w:r>
      <w:r>
        <w:rPr>
          <w:rFonts w:hint="eastAsia" w:ascii="宋体" w:hAnsi="宋体" w:eastAsia="宋体" w:cs="宋体"/>
          <w:color w:val="000000"/>
          <w:kern w:val="0"/>
          <w:sz w:val="28"/>
          <w:szCs w:val="28"/>
          <w:lang w:bidi="ar"/>
        </w:rPr>
        <w:t xml:space="preserve"> 质量保证期（或称“免费维修期”）：不少于</w:t>
      </w: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 xml:space="preserve">年（若国家和/或生产厂家对本项目所涉及货物的质量保证期的规定高于本项目的要求，应按国家和/或生产厂家的规定执行）。免费维修期的起始计算日期为货物通过验收交付使用日。 </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bidi="ar"/>
        </w:rPr>
        <w:t>4.</w:t>
      </w: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eastAsia="zh-CN" w:bidi="ar"/>
        </w:rPr>
        <w:t>.2</w:t>
      </w:r>
      <w:r>
        <w:rPr>
          <w:rFonts w:hint="eastAsia" w:ascii="宋体" w:hAnsi="宋体" w:eastAsia="宋体" w:cs="宋体"/>
          <w:color w:val="000000"/>
          <w:kern w:val="0"/>
          <w:sz w:val="28"/>
          <w:szCs w:val="28"/>
          <w:lang w:bidi="ar"/>
        </w:rPr>
        <w:t xml:space="preserve"> 项目通过验收后，设备故障报修的响应时间：提供全天 24 小时报障电话服务。接到报障后 1 小时内提供解决方案，如果电话中无法解决，中标人应在收到采购人通知后 4 小时内派员到现场维修(技术要求另有规定除外)，并在 24 小时内消除障碍。因设备故障停用的时间，免费维修期累计相应顺延。 </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bidi="ar"/>
        </w:rPr>
        <w:t xml:space="preserve">4.3.3 在免费维修期内，中标人应无偿提供保养和维修服务。主要内容：及时排除故障和进行修理，无偿更换非人为损坏或不能正常工作的机件，免费维修期内全部服务费和更换零部件的费用由中标人承担。 </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bidi="ar"/>
        </w:rPr>
        <w:t>4.</w:t>
      </w: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eastAsia="zh-CN" w:bidi="ar"/>
        </w:rPr>
        <w:t>.4</w:t>
      </w:r>
      <w:r>
        <w:rPr>
          <w:rFonts w:hint="eastAsia" w:ascii="宋体" w:hAnsi="宋体" w:eastAsia="宋体" w:cs="宋体"/>
          <w:color w:val="000000"/>
          <w:kern w:val="0"/>
          <w:sz w:val="28"/>
          <w:szCs w:val="28"/>
          <w:lang w:bidi="ar"/>
        </w:rPr>
        <w:t xml:space="preserve"> 免费维修期满后，提供终身维护服务，</w:t>
      </w:r>
      <w:r>
        <w:rPr>
          <w:rFonts w:hint="eastAsia" w:ascii="宋体" w:hAnsi="宋体" w:eastAsia="宋体" w:cs="宋体"/>
          <w:b/>
          <w:bCs/>
          <w:color w:val="000000"/>
          <w:kern w:val="0"/>
          <w:sz w:val="28"/>
          <w:szCs w:val="28"/>
          <w:lang w:bidi="ar"/>
        </w:rPr>
        <w:t>只按厂价收取所换的材料费，不收取任何维护费用。</w:t>
      </w:r>
      <w:r>
        <w:rPr>
          <w:rFonts w:hint="eastAsia" w:ascii="宋体" w:hAnsi="宋体" w:eastAsia="宋体" w:cs="宋体"/>
          <w:color w:val="000000"/>
          <w:kern w:val="0"/>
          <w:sz w:val="28"/>
          <w:szCs w:val="28"/>
          <w:lang w:bidi="ar"/>
        </w:rPr>
        <w:t xml:space="preserve">中标人在免费维修期和维护期内负责采购人的产品升级的服务工作，并提供相关的信息技术和跟进工作。 </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bidi="ar"/>
        </w:rPr>
        <w:t xml:space="preserve">4.3.5 采购人维修通知的邮件发出后，视为采购人的维修通知送达中标人。 </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bidi="ar"/>
        </w:rPr>
        <w:t xml:space="preserve">4.3.6 所有货物保修服务方式均为中标人上门保修，即由中标人派员到货物使用现场维修，由此产生的一切费用均由中标人承担。 </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bidi="ar"/>
        </w:rPr>
        <w:t xml:space="preserve">4.3.7 包修、包换、包退： 按国家现行三包政策。 </w:t>
      </w:r>
    </w:p>
    <w:p>
      <w:pPr>
        <w:widowControl/>
        <w:spacing w:line="460" w:lineRule="exact"/>
        <w:ind w:firstLine="560" w:firstLineChars="200"/>
        <w:jc w:val="left"/>
        <w:rPr>
          <w:rFonts w:hint="eastAsia" w:ascii="宋体" w:hAnsi="宋体" w:eastAsia="宋体" w:cs="宋体"/>
          <w:b/>
          <w:bCs/>
          <w:color w:val="000000"/>
          <w:kern w:val="0"/>
          <w:sz w:val="28"/>
          <w:szCs w:val="28"/>
          <w:lang w:bidi="ar"/>
        </w:rPr>
      </w:pPr>
      <w:r>
        <w:rPr>
          <w:rFonts w:hint="eastAsia" w:ascii="宋体" w:hAnsi="宋体" w:eastAsia="宋体" w:cs="宋体"/>
          <w:color w:val="000000"/>
          <w:kern w:val="0"/>
          <w:sz w:val="28"/>
          <w:szCs w:val="28"/>
          <w:lang w:bidi="ar"/>
        </w:rPr>
        <w:t>4.4 备件：为保证设备正常运行，中标人存入所有必须的备件，并保证</w:t>
      </w:r>
      <w:r>
        <w:rPr>
          <w:rFonts w:hint="eastAsia" w:ascii="宋体" w:hAnsi="宋体" w:eastAsia="宋体" w:cs="宋体"/>
          <w:b/>
          <w:bCs/>
          <w:color w:val="000000"/>
          <w:kern w:val="0"/>
          <w:sz w:val="28"/>
          <w:szCs w:val="28"/>
          <w:lang w:bidi="ar"/>
        </w:rPr>
        <w:t xml:space="preserve"> 8年以上的供应期。 </w:t>
      </w:r>
    </w:p>
    <w:p>
      <w:pPr>
        <w:widowControl/>
        <w:spacing w:line="460" w:lineRule="exact"/>
        <w:ind w:firstLine="562" w:firstLineChars="200"/>
        <w:jc w:val="left"/>
        <w:rPr>
          <w:rFonts w:hint="eastAsia"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 xml:space="preserve">五、验收要求、验收标准及方法 </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eastAsia="zh-CN" w:bidi="ar"/>
        </w:rPr>
        <w:t>.1</w:t>
      </w:r>
      <w:r>
        <w:rPr>
          <w:rFonts w:hint="eastAsia" w:ascii="宋体" w:hAnsi="宋体" w:eastAsia="宋体" w:cs="宋体"/>
          <w:color w:val="000000"/>
          <w:kern w:val="0"/>
          <w:sz w:val="28"/>
          <w:szCs w:val="28"/>
          <w:lang w:bidi="ar"/>
        </w:rPr>
        <w:t xml:space="preserve">.验收 </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eastAsia="zh-CN" w:bidi="ar"/>
        </w:rPr>
        <w:t>.1</w:t>
      </w:r>
      <w:r>
        <w:rPr>
          <w:rFonts w:hint="eastAsia" w:ascii="宋体" w:hAnsi="宋体" w:eastAsia="宋体" w:cs="宋体"/>
          <w:color w:val="000000"/>
          <w:kern w:val="0"/>
          <w:sz w:val="28"/>
          <w:szCs w:val="28"/>
          <w:lang w:bidi="ar"/>
        </w:rPr>
        <w:t xml:space="preserve">.1 出厂检验：货物在出厂前都必须作出厂前测试。 </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eastAsia="zh-CN" w:bidi="ar"/>
        </w:rPr>
        <w:t>.1</w:t>
      </w:r>
      <w:r>
        <w:rPr>
          <w:rFonts w:hint="eastAsia" w:ascii="宋体" w:hAnsi="宋体" w:eastAsia="宋体" w:cs="宋体"/>
          <w:color w:val="000000"/>
          <w:kern w:val="0"/>
          <w:sz w:val="28"/>
          <w:szCs w:val="28"/>
          <w:lang w:bidi="ar"/>
        </w:rPr>
        <w:t xml:space="preserve">.2 验收时间：货物到达后，由采购人初步验收合格后中标人才可进行安装，货物的参数应符合投标文件技术参数响应要求。货物安装调试完毕正常使用后 30 天内进行系统验收。  </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bidi="ar"/>
        </w:rPr>
        <w:t xml:space="preserve">5.2 验收标准： </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bidi="ar"/>
        </w:rPr>
        <w:t xml:space="preserve">5.2.1 交付验收标准依次序对照适用标准为：①符合中华人民共和国国家安全质量标准、环保标准或行业标准；②符合招标文件和响应承诺中采购人认可的合理最佳配置、参数及各项要求。 </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bidi="ar"/>
        </w:rPr>
        <w:t xml:space="preserve">5.2.2 货物为原厂商未启封全新包装，具出厂合格证，序列号、包装箱号与出厂批号一致，并可追索查阅。 </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bidi="ar"/>
        </w:rPr>
        <w:t xml:space="preserve">5.2.3 中标人应将关键主机设备的用户手册、保修手册、有关单证资料及配备件、随机工具等交付给采购人，使用操作及安全须知等重要资料应附有中文说明。 </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bidi="ar"/>
        </w:rPr>
        <w:t xml:space="preserve">5.2.5 项目质量控制标准：本项目要求严格按照国家有关设备安装及验收规范、技术标准进行安装施工，符合国家颁发的有关质量验评标准，质量等级为合格。中标人在安装施工中如果质量不符合设计要求和有关规定，采购人要求停工和返工时，中标人必须立即执行，并承担由此产生的各种费用，交货期不予顺延。安全文明施工要求按有关规定执行。 </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bidi="ar"/>
        </w:rPr>
        <w:t xml:space="preserve">5.3.按照国家有关施工及验收规范的约定标准、规范进行质量验收。若中标人有违反操作规程和标准规范或施工质量不符合规定的，采购人有权令其停止（或暂停）项目，由此造成的损失均由中标人负责。 </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bidi="ar"/>
        </w:rPr>
        <w:t xml:space="preserve">5.4.技术资料：提供设备的安装手册、操作手册；工作软件说明书、维修保养手册等技术文件及产品合格证、质量保证书等全套资料。 </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bidi="ar"/>
        </w:rPr>
        <w:t xml:space="preserve">5.5.培训：中标人应提供操作及维护培训，主要内容为设备的基本结构、性能、主要部件的构造及原理，日常使用操作、保养与管理，常见故障的排除，紧急情况的处理等，培训地点主要在设备安装现场或协商安排。 </w:t>
      </w:r>
    </w:p>
    <w:p>
      <w:pPr>
        <w:widowControl/>
        <w:spacing w:line="460" w:lineRule="exact"/>
        <w:ind w:firstLine="562" w:firstLineChars="200"/>
        <w:jc w:val="left"/>
        <w:rPr>
          <w:rFonts w:hint="eastAsia"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 xml:space="preserve">六、违约责任 </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6</w:t>
      </w:r>
      <w:r>
        <w:rPr>
          <w:rFonts w:hint="eastAsia" w:ascii="宋体" w:hAnsi="宋体" w:eastAsia="宋体" w:cs="宋体"/>
          <w:color w:val="000000"/>
          <w:kern w:val="0"/>
          <w:sz w:val="28"/>
          <w:szCs w:val="28"/>
          <w:lang w:eastAsia="zh-CN" w:bidi="ar"/>
        </w:rPr>
        <w:t>.1</w:t>
      </w:r>
      <w:r>
        <w:rPr>
          <w:rFonts w:hint="eastAsia" w:ascii="宋体" w:hAnsi="宋体" w:eastAsia="宋体" w:cs="宋体"/>
          <w:color w:val="000000"/>
          <w:kern w:val="0"/>
          <w:sz w:val="28"/>
          <w:szCs w:val="28"/>
          <w:lang w:bidi="ar"/>
        </w:rPr>
        <w:t xml:space="preserve"> 中标人交付的货物、工程/提供的服务不符合招标文件、投标文件或本合同规定的，采购人有权拒收，并且中标人方须向采购人支付本合同总价5%的违约金。</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6</w:t>
      </w:r>
      <w:r>
        <w:rPr>
          <w:rFonts w:hint="eastAsia" w:ascii="宋体" w:hAnsi="宋体" w:eastAsia="宋体" w:cs="宋体"/>
          <w:color w:val="000000"/>
          <w:kern w:val="0"/>
          <w:sz w:val="28"/>
          <w:szCs w:val="28"/>
          <w:lang w:eastAsia="zh-CN" w:bidi="ar"/>
        </w:rPr>
        <w:t>.2</w:t>
      </w:r>
      <w:r>
        <w:rPr>
          <w:rFonts w:hint="eastAsia" w:ascii="宋体" w:hAnsi="宋体" w:eastAsia="宋体" w:cs="宋体"/>
          <w:color w:val="000000"/>
          <w:kern w:val="0"/>
          <w:sz w:val="28"/>
          <w:szCs w:val="28"/>
          <w:lang w:bidi="ar"/>
        </w:rPr>
        <w:t xml:space="preserve"> 中标人未能按本合同规定的交货时间交付货物的/提供服务，从逾期之日起每日按本合同总价 3‰的数额向采购人支付违约金；逾期 15 天以上的，采购人有权终止合同，由此造成的采购人经济损失由中标人承担。（应疫情防控等不可抗力导致的可顺延） </w:t>
      </w:r>
    </w:p>
    <w:p>
      <w:pPr>
        <w:widowControl/>
        <w:spacing w:line="460" w:lineRule="exact"/>
        <w:jc w:val="left"/>
        <w:rPr>
          <w:rFonts w:hint="eastAsia" w:ascii="宋体" w:hAnsi="宋体" w:eastAsia="宋体" w:cs="宋体"/>
          <w:sz w:val="28"/>
          <w:szCs w:val="28"/>
        </w:rPr>
      </w:pPr>
      <w:r>
        <w:rPr>
          <w:rFonts w:hint="eastAsia" w:ascii="宋体" w:hAnsi="宋体" w:eastAsia="宋体" w:cs="宋体"/>
          <w:color w:val="000000"/>
          <w:kern w:val="0"/>
          <w:sz w:val="28"/>
          <w:szCs w:val="28"/>
          <w:lang w:bidi="ar"/>
        </w:rPr>
        <w:t xml:space="preserve">   6.3 采购人无正当理由拒收货物/接受服务，到期拒付货物款项的，采购人向中标人偿付本合同总的 5%的违约金。采购人逾期付款，则每日按本合同总价的 3‰向中标人偿付违约金。 </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6</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 xml:space="preserve"> 其它违约责任按《中华人民共和国合同法》处理。 </w:t>
      </w:r>
    </w:p>
    <w:p>
      <w:pPr>
        <w:widowControl/>
        <w:spacing w:line="460" w:lineRule="exact"/>
        <w:ind w:firstLine="562" w:firstLineChars="200"/>
        <w:jc w:val="left"/>
        <w:rPr>
          <w:rFonts w:hint="eastAsia"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 xml:space="preserve">七、付款方式 </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bidi="ar"/>
        </w:rPr>
        <w:t xml:space="preserve">7.1 付款方式： </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bidi="ar"/>
        </w:rPr>
        <w:t>自该货物验收合格之日起30天内支付合同总金额的10</w:t>
      </w:r>
      <w:r>
        <w:rPr>
          <w:rFonts w:hint="eastAsia" w:ascii="宋体" w:hAnsi="宋体" w:eastAsia="宋体" w:cs="宋体"/>
          <w:color w:val="000000"/>
          <w:kern w:val="0"/>
          <w:sz w:val="28"/>
          <w:szCs w:val="28"/>
          <w:lang w:val="en-US" w:eastAsia="zh-CN" w:bidi="ar"/>
        </w:rPr>
        <w:t>0</w:t>
      </w:r>
      <w:r>
        <w:rPr>
          <w:rFonts w:hint="eastAsia" w:ascii="宋体" w:hAnsi="宋体" w:eastAsia="宋体" w:cs="宋体"/>
          <w:color w:val="000000"/>
          <w:kern w:val="0"/>
          <w:sz w:val="28"/>
          <w:szCs w:val="28"/>
          <w:lang w:bidi="ar"/>
        </w:rPr>
        <w:t xml:space="preserve">%。 </w:t>
      </w:r>
    </w:p>
    <w:p>
      <w:pPr>
        <w:widowControl/>
        <w:spacing w:line="460" w:lineRule="exact"/>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7.2中标人凭以下文件资料申请支付合同款： </w:t>
      </w:r>
    </w:p>
    <w:p>
      <w:pPr>
        <w:widowControl/>
        <w:spacing w:line="460" w:lineRule="exact"/>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7.2.1 合同； </w:t>
      </w:r>
    </w:p>
    <w:p>
      <w:pPr>
        <w:widowControl/>
        <w:spacing w:line="460" w:lineRule="exact"/>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7.2.2 中标通知书复印件或原件； </w:t>
      </w:r>
    </w:p>
    <w:p>
      <w:pPr>
        <w:widowControl/>
        <w:spacing w:line="460" w:lineRule="exact"/>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7.2.3 验收合格报告（加盖采购人公章）； </w:t>
      </w:r>
    </w:p>
    <w:p>
      <w:pPr>
        <w:widowControl/>
        <w:spacing w:line="460" w:lineRule="exact"/>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7.2.4 中标人开具有效的发票。 </w:t>
      </w:r>
    </w:p>
    <w:p>
      <w:pPr>
        <w:widowControl/>
        <w:spacing w:line="460" w:lineRule="exact"/>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7.3 因采购人使用的是财政资金，采购人在前款规定的付款时间为向政府采购支付部门提出办理财政支付申请手续的时间（不含政府财政支付部门审核的时间），在规定时间内提出支付申请手续后即视为采购人是按期支付。</w:t>
      </w:r>
    </w:p>
    <w:p>
      <w:pPr>
        <w:widowControl/>
        <w:spacing w:line="460" w:lineRule="exact"/>
        <w:ind w:firstLine="560" w:firstLineChars="200"/>
        <w:jc w:val="left"/>
        <w:rPr>
          <w:rFonts w:hint="eastAsia" w:ascii="宋体" w:hAnsi="宋体" w:eastAsia="宋体" w:cs="宋体"/>
          <w:color w:val="000000"/>
          <w:kern w:val="0"/>
          <w:sz w:val="28"/>
          <w:szCs w:val="28"/>
          <w:lang w:val="en-US" w:eastAsia="zh-CN" w:bidi="ar"/>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0DF06A"/>
    <w:multiLevelType w:val="singleLevel"/>
    <w:tmpl w:val="120DF06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Zjc2OGM3MmFkOTE0ZDYyOTRhZTlkN2Q1YWFhM2MifQ=="/>
  </w:docVars>
  <w:rsids>
    <w:rsidRoot w:val="592F5C68"/>
    <w:rsid w:val="25D044FC"/>
    <w:rsid w:val="25EA105A"/>
    <w:rsid w:val="30215312"/>
    <w:rsid w:val="344A493E"/>
    <w:rsid w:val="3EB53A2C"/>
    <w:rsid w:val="4BE40C0C"/>
    <w:rsid w:val="592F5C68"/>
    <w:rsid w:val="670F0BB8"/>
    <w:rsid w:val="687623DF"/>
    <w:rsid w:val="6AEC7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kern w:val="0"/>
      <w:sz w:val="20"/>
      <w:szCs w:val="20"/>
    </w:rPr>
  </w:style>
  <w:style w:type="paragraph" w:customStyle="1" w:styleId="5">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default" w:ascii="Arial" w:hAnsi="Arial" w:eastAsia="PMingLiU" w:cs="Times New Roman"/>
      <w:kern w:val="0"/>
      <w:sz w:val="20"/>
      <w:szCs w:val="2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2023-11-20T07:44:00Z</dcterms:created>
  <dc:creator>admin</dc:creator>
  <cp:lastModifiedBy>admin</cp:lastModifiedBy>
  <dcterms:modified xsi:type="dcterms:W3CDTF">2023-11-20T07:44:59Z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AD4EF30EA8664D718F401E0A6D5A6567_11</vt:lpwstr>
  </property>
</Properties>
</file>