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216007">
      <w:pPr>
        <w:tabs>
          <w:tab w:val="left" w:pos="6300"/>
        </w:tabs>
        <w:snapToGrid w:val="0"/>
        <w:spacing w:line="300" w:lineRule="auto"/>
        <w:jc w:val="center"/>
        <w:rPr>
          <w:rFonts w:ascii="仿宋" w:hAnsi="仿宋" w:eastAsia="仿宋" w:cs="仿宋"/>
          <w:b/>
          <w:bCs/>
          <w:sz w:val="40"/>
          <w:szCs w:val="40"/>
        </w:rPr>
      </w:pPr>
      <w:bookmarkStart w:id="0" w:name="_Toc94585339"/>
      <w:bookmarkStart w:id="1" w:name="_Toc94544827"/>
      <w:bookmarkStart w:id="2" w:name="_Toc12670502"/>
      <w:bookmarkStart w:id="3" w:name="_Toc8895738"/>
      <w:bookmarkStart w:id="4" w:name="_Toc11554638"/>
      <w:bookmarkStart w:id="5" w:name="_Toc521203417"/>
      <w:bookmarkStart w:id="6" w:name="_Toc94544743"/>
      <w:bookmarkStart w:id="7" w:name="_Toc11500279"/>
      <w:bookmarkStart w:id="8" w:name="_Toc521201596"/>
      <w:bookmarkStart w:id="9" w:name="_Toc11499583"/>
      <w:r>
        <w:rPr>
          <w:rFonts w:hint="eastAsia" w:ascii="仿宋" w:hAnsi="仿宋" w:eastAsia="仿宋" w:cs="仿宋"/>
          <w:b/>
          <w:bCs/>
          <w:sz w:val="40"/>
          <w:szCs w:val="40"/>
        </w:rPr>
        <w:t>南通市养老服务指导中心</w:t>
      </w:r>
    </w:p>
    <w:p w14:paraId="54876358">
      <w:pPr>
        <w:tabs>
          <w:tab w:val="left" w:pos="6300"/>
        </w:tabs>
        <w:snapToGrid w:val="0"/>
        <w:spacing w:line="300" w:lineRule="auto"/>
        <w:jc w:val="center"/>
        <w:rPr>
          <w:rFonts w:ascii="仿宋" w:hAnsi="仿宋" w:eastAsia="仿宋" w:cs="仿宋"/>
          <w:b/>
          <w:bCs/>
          <w:w w:val="80"/>
          <w:sz w:val="48"/>
          <w:szCs w:val="48"/>
        </w:rPr>
      </w:pPr>
      <w:r>
        <w:rPr>
          <w:rFonts w:hint="eastAsia" w:ascii="仿宋" w:hAnsi="仿宋" w:eastAsia="仿宋" w:cs="仿宋"/>
          <w:b/>
          <w:bCs/>
          <w:sz w:val="40"/>
          <w:szCs w:val="40"/>
        </w:rPr>
        <w:t>绿化养护及盆栽租摆服务项目</w:t>
      </w:r>
    </w:p>
    <w:p w14:paraId="3962C882">
      <w:pPr>
        <w:pStyle w:val="50"/>
        <w:ind w:firstLine="480"/>
        <w:rPr>
          <w:rFonts w:ascii="仿宋" w:hAnsi="仿宋" w:eastAsia="仿宋" w:cs="仿宋"/>
        </w:rPr>
      </w:pPr>
    </w:p>
    <w:p w14:paraId="126690C1">
      <w:pPr>
        <w:pStyle w:val="50"/>
        <w:ind w:firstLine="480"/>
        <w:rPr>
          <w:rFonts w:ascii="仿宋" w:hAnsi="仿宋" w:eastAsia="仿宋" w:cs="仿宋"/>
        </w:rPr>
      </w:pPr>
    </w:p>
    <w:p w14:paraId="582BD730">
      <w:pPr>
        <w:pStyle w:val="50"/>
        <w:ind w:firstLine="480"/>
        <w:rPr>
          <w:rFonts w:ascii="仿宋" w:hAnsi="仿宋" w:eastAsia="仿宋" w:cs="仿宋"/>
        </w:rPr>
      </w:pPr>
    </w:p>
    <w:p w14:paraId="55EB16F2">
      <w:pPr>
        <w:tabs>
          <w:tab w:val="left" w:pos="6300"/>
        </w:tabs>
        <w:snapToGrid w:val="0"/>
        <w:spacing w:line="300" w:lineRule="auto"/>
        <w:jc w:val="center"/>
        <w:rPr>
          <w:rFonts w:ascii="仿宋" w:hAnsi="仿宋" w:eastAsia="仿宋" w:cs="仿宋"/>
          <w:b/>
          <w:bCs/>
          <w:w w:val="80"/>
          <w:sz w:val="96"/>
          <w:szCs w:val="96"/>
        </w:rPr>
      </w:pPr>
      <w:r>
        <w:rPr>
          <w:rFonts w:hint="eastAsia" w:ascii="仿宋" w:hAnsi="仿宋" w:eastAsia="仿宋" w:cs="仿宋"/>
          <w:b/>
          <w:bCs/>
          <w:w w:val="80"/>
          <w:sz w:val="96"/>
          <w:szCs w:val="96"/>
        </w:rPr>
        <w:t>竞争性磋商文件</w:t>
      </w:r>
    </w:p>
    <w:p w14:paraId="32F0450E">
      <w:pPr>
        <w:jc w:val="left"/>
        <w:rPr>
          <w:rFonts w:ascii="仿宋" w:hAnsi="仿宋" w:eastAsia="仿宋" w:cs="仿宋"/>
          <w:b/>
          <w:bCs/>
          <w:sz w:val="44"/>
          <w:szCs w:val="44"/>
        </w:rPr>
      </w:pPr>
    </w:p>
    <w:p w14:paraId="7303A84B">
      <w:pPr>
        <w:spacing w:line="360" w:lineRule="auto"/>
        <w:jc w:val="center"/>
        <w:rPr>
          <w:rFonts w:ascii="仿宋" w:hAnsi="仿宋" w:eastAsia="仿宋" w:cs="仿宋"/>
          <w:b/>
          <w:bCs/>
          <w:sz w:val="44"/>
          <w:szCs w:val="44"/>
        </w:rPr>
      </w:pPr>
    </w:p>
    <w:p w14:paraId="12068FCA">
      <w:pPr>
        <w:snapToGrid w:val="0"/>
        <w:spacing w:line="360" w:lineRule="auto"/>
        <w:rPr>
          <w:rFonts w:ascii="仿宋" w:hAnsi="仿宋" w:eastAsia="仿宋" w:cs="仿宋"/>
          <w:b/>
          <w:bCs/>
          <w:sz w:val="36"/>
          <w:szCs w:val="36"/>
        </w:rPr>
      </w:pPr>
    </w:p>
    <w:p w14:paraId="776C4D76">
      <w:pPr>
        <w:snapToGrid w:val="0"/>
        <w:spacing w:line="360" w:lineRule="auto"/>
        <w:jc w:val="center"/>
        <w:rPr>
          <w:rFonts w:ascii="仿宋" w:hAnsi="仿宋" w:eastAsia="仿宋" w:cs="仿宋"/>
          <w:b/>
          <w:bCs/>
          <w:sz w:val="36"/>
          <w:szCs w:val="36"/>
        </w:rPr>
      </w:pPr>
      <w:r>
        <w:rPr>
          <w:rFonts w:hint="eastAsia" w:ascii="仿宋" w:hAnsi="仿宋" w:eastAsia="仿宋" w:cs="仿宋"/>
          <w:b/>
          <w:bCs/>
          <w:sz w:val="36"/>
          <w:szCs w:val="36"/>
          <w:lang w:eastAsia="zh-CN"/>
        </w:rPr>
        <w:drawing>
          <wp:inline distT="0" distB="0" distL="114300" distR="114300">
            <wp:extent cx="2381885" cy="2381885"/>
            <wp:effectExtent l="0" t="0" r="18415" b="18415"/>
            <wp:docPr id="1" name="图片 1" descr="0e12d8d159b14ed588aad7715f78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e12d8d159b14ed588aad7715f78ec17"/>
                    <pic:cNvPicPr>
                      <a:picLocks noChangeAspect="1"/>
                    </pic:cNvPicPr>
                  </pic:nvPicPr>
                  <pic:blipFill>
                    <a:blip r:embed="rId8"/>
                    <a:stretch>
                      <a:fillRect/>
                    </a:stretch>
                  </pic:blipFill>
                  <pic:spPr>
                    <a:xfrm>
                      <a:off x="0" y="0"/>
                      <a:ext cx="2381885" cy="2381885"/>
                    </a:xfrm>
                    <a:prstGeom prst="rect">
                      <a:avLst/>
                    </a:prstGeom>
                  </pic:spPr>
                </pic:pic>
              </a:graphicData>
            </a:graphic>
          </wp:inline>
        </w:drawing>
      </w:r>
    </w:p>
    <w:p w14:paraId="7B213954">
      <w:pPr>
        <w:pStyle w:val="6"/>
        <w:rPr>
          <w:rFonts w:ascii="仿宋" w:hAnsi="仿宋" w:eastAsia="仿宋" w:cs="仿宋"/>
          <w:sz w:val="36"/>
          <w:szCs w:val="36"/>
        </w:rPr>
      </w:pPr>
    </w:p>
    <w:p w14:paraId="61E6264A"/>
    <w:p w14:paraId="32657980">
      <w:pPr>
        <w:rPr>
          <w:rFonts w:ascii="仿宋" w:hAnsi="仿宋" w:eastAsia="仿宋" w:cs="仿宋"/>
        </w:rPr>
      </w:pPr>
    </w:p>
    <w:p w14:paraId="61CC9BAD">
      <w:pPr>
        <w:adjustRightInd w:val="0"/>
        <w:snapToGrid w:val="0"/>
        <w:spacing w:line="360" w:lineRule="auto"/>
        <w:ind w:firstLine="2711" w:firstLineChars="900"/>
        <w:rPr>
          <w:rFonts w:ascii="仿宋" w:hAnsi="仿宋" w:eastAsia="仿宋" w:cs="仿宋"/>
          <w:b/>
          <w:bCs/>
          <w:sz w:val="30"/>
          <w:szCs w:val="30"/>
        </w:rPr>
      </w:pPr>
      <w:r>
        <w:rPr>
          <w:rFonts w:hint="eastAsia" w:ascii="仿宋" w:hAnsi="仿宋" w:eastAsia="仿宋" w:cs="仿宋"/>
          <w:b/>
          <w:bCs/>
          <w:sz w:val="30"/>
          <w:szCs w:val="30"/>
        </w:rPr>
        <w:t>采购单位：南通市养老服务指导中心</w:t>
      </w:r>
    </w:p>
    <w:p w14:paraId="0E00844F">
      <w:pPr>
        <w:adjustRightInd w:val="0"/>
        <w:snapToGrid w:val="0"/>
        <w:spacing w:line="360" w:lineRule="auto"/>
        <w:ind w:firstLine="3915" w:firstLineChars="1300"/>
        <w:rPr>
          <w:rFonts w:ascii="仿宋" w:hAnsi="仿宋" w:eastAsia="仿宋" w:cs="仿宋"/>
          <w:b/>
          <w:bCs/>
          <w:sz w:val="30"/>
          <w:szCs w:val="30"/>
        </w:rPr>
      </w:pPr>
      <w:r>
        <w:rPr>
          <w:rFonts w:hint="eastAsia" w:ascii="仿宋" w:hAnsi="仿宋" w:eastAsia="仿宋" w:cs="仿宋"/>
          <w:b/>
          <w:bCs/>
          <w:sz w:val="30"/>
          <w:szCs w:val="30"/>
        </w:rPr>
        <w:t>二〇二五年十一月</w:t>
      </w:r>
    </w:p>
    <w:p w14:paraId="2937CA10">
      <w:pPr>
        <w:pStyle w:val="23"/>
        <w:tabs>
          <w:tab w:val="left" w:pos="1050"/>
          <w:tab w:val="right" w:leader="dot" w:pos="9402"/>
        </w:tabs>
        <w:spacing w:line="960" w:lineRule="exact"/>
        <w:ind w:left="0"/>
        <w:jc w:val="center"/>
        <w:outlineLvl w:val="0"/>
        <w:rPr>
          <w:rFonts w:ascii="仿宋" w:hAnsi="仿宋" w:eastAsia="仿宋" w:cs="仿宋"/>
          <w:b/>
          <w:bCs/>
          <w:i w:val="0"/>
          <w:iCs w:val="0"/>
          <w:w w:val="80"/>
          <w:sz w:val="52"/>
          <w:szCs w:val="52"/>
        </w:rPr>
      </w:pPr>
      <w:r>
        <w:rPr>
          <w:rFonts w:hint="eastAsia" w:ascii="仿宋" w:hAnsi="仿宋" w:eastAsia="仿宋" w:cs="仿宋"/>
          <w:sz w:val="30"/>
          <w:szCs w:val="30"/>
        </w:rPr>
        <w:br w:type="page"/>
      </w:r>
      <w:r>
        <w:rPr>
          <w:rFonts w:hint="eastAsia" w:ascii="仿宋" w:hAnsi="仿宋" w:eastAsia="仿宋" w:cs="仿宋"/>
          <w:b/>
          <w:bCs/>
          <w:i w:val="0"/>
          <w:iCs w:val="0"/>
          <w:w w:val="80"/>
          <w:sz w:val="52"/>
          <w:szCs w:val="52"/>
        </w:rPr>
        <w:t>目   录</w:t>
      </w:r>
    </w:p>
    <w:p w14:paraId="264E0AF5">
      <w:pPr>
        <w:spacing w:line="800" w:lineRule="exact"/>
        <w:jc w:val="center"/>
        <w:rPr>
          <w:rFonts w:ascii="仿宋" w:hAnsi="仿宋" w:eastAsia="仿宋" w:cs="仿宋"/>
          <w:b/>
          <w:bCs/>
          <w:sz w:val="52"/>
          <w:szCs w:val="52"/>
        </w:rPr>
      </w:pPr>
    </w:p>
    <w:p w14:paraId="1C254FA3">
      <w:pPr>
        <w:pStyle w:val="23"/>
        <w:tabs>
          <w:tab w:val="left" w:pos="1050"/>
          <w:tab w:val="right" w:leader="dot" w:pos="9402"/>
        </w:tabs>
        <w:spacing w:line="520" w:lineRule="exact"/>
        <w:ind w:left="0"/>
        <w:rPr>
          <w:rFonts w:ascii="仿宋" w:hAnsi="仿宋" w:eastAsia="仿宋" w:cs="仿宋"/>
          <w:i w:val="0"/>
          <w:iCs w:val="0"/>
          <w:w w:val="80"/>
          <w:sz w:val="36"/>
          <w:szCs w:val="36"/>
        </w:rPr>
      </w:pPr>
      <w:r>
        <w:rPr>
          <w:rFonts w:hint="eastAsia" w:ascii="仿宋" w:hAnsi="仿宋" w:eastAsia="仿宋" w:cs="仿宋"/>
          <w:i w:val="0"/>
          <w:iCs w:val="0"/>
          <w:w w:val="80"/>
          <w:sz w:val="36"/>
          <w:szCs w:val="36"/>
        </w:rPr>
        <w:t>第一章       竞争性磋商公告</w:t>
      </w:r>
    </w:p>
    <w:p w14:paraId="6FE2CBC4">
      <w:pPr>
        <w:rPr>
          <w:rFonts w:ascii="仿宋" w:hAnsi="仿宋" w:eastAsia="仿宋" w:cs="仿宋"/>
          <w:sz w:val="36"/>
          <w:szCs w:val="36"/>
        </w:rPr>
      </w:pPr>
    </w:p>
    <w:p w14:paraId="04530A9F">
      <w:pPr>
        <w:pStyle w:val="23"/>
        <w:tabs>
          <w:tab w:val="left" w:pos="1050"/>
          <w:tab w:val="right" w:leader="dot" w:pos="9402"/>
        </w:tabs>
        <w:spacing w:line="520" w:lineRule="exact"/>
        <w:ind w:left="0"/>
        <w:rPr>
          <w:rFonts w:ascii="仿宋" w:hAnsi="仿宋" w:eastAsia="仿宋" w:cs="仿宋"/>
          <w:i w:val="0"/>
          <w:iCs w:val="0"/>
          <w:w w:val="80"/>
          <w:sz w:val="36"/>
          <w:szCs w:val="36"/>
        </w:rPr>
      </w:pPr>
      <w:r>
        <w:rPr>
          <w:rFonts w:hint="eastAsia" w:ascii="仿宋" w:hAnsi="仿宋" w:eastAsia="仿宋" w:cs="仿宋"/>
          <w:i w:val="0"/>
          <w:iCs w:val="0"/>
          <w:w w:val="80"/>
          <w:sz w:val="36"/>
          <w:szCs w:val="36"/>
        </w:rPr>
        <w:t>第二章       磋商供应商须知</w:t>
      </w:r>
    </w:p>
    <w:p w14:paraId="37496D8C">
      <w:pPr>
        <w:rPr>
          <w:rFonts w:ascii="仿宋" w:hAnsi="仿宋" w:eastAsia="仿宋" w:cs="仿宋"/>
          <w:sz w:val="36"/>
          <w:szCs w:val="36"/>
        </w:rPr>
      </w:pPr>
    </w:p>
    <w:p w14:paraId="2C787E91">
      <w:pPr>
        <w:pStyle w:val="23"/>
        <w:tabs>
          <w:tab w:val="left" w:pos="1050"/>
          <w:tab w:val="right" w:leader="dot" w:pos="9402"/>
        </w:tabs>
        <w:spacing w:line="520" w:lineRule="exact"/>
        <w:ind w:left="1"/>
        <w:rPr>
          <w:rFonts w:ascii="仿宋" w:hAnsi="仿宋" w:eastAsia="仿宋" w:cs="仿宋"/>
          <w:i w:val="0"/>
          <w:iCs w:val="0"/>
          <w:w w:val="80"/>
          <w:sz w:val="36"/>
          <w:szCs w:val="36"/>
        </w:rPr>
      </w:pPr>
      <w:r>
        <w:rPr>
          <w:rFonts w:hint="eastAsia" w:ascii="仿宋" w:hAnsi="仿宋" w:eastAsia="仿宋" w:cs="仿宋"/>
          <w:i w:val="0"/>
          <w:iCs w:val="0"/>
          <w:w w:val="80"/>
          <w:sz w:val="36"/>
          <w:szCs w:val="36"/>
        </w:rPr>
        <w:t>第三章       项目需求</w:t>
      </w:r>
    </w:p>
    <w:p w14:paraId="4E43635B">
      <w:pPr>
        <w:rPr>
          <w:rFonts w:ascii="仿宋" w:hAnsi="仿宋" w:eastAsia="仿宋" w:cs="仿宋"/>
          <w:sz w:val="36"/>
          <w:szCs w:val="36"/>
        </w:rPr>
      </w:pPr>
    </w:p>
    <w:p w14:paraId="66D33455">
      <w:pPr>
        <w:pStyle w:val="23"/>
        <w:tabs>
          <w:tab w:val="left" w:pos="1050"/>
          <w:tab w:val="right" w:leader="dot" w:pos="9402"/>
        </w:tabs>
        <w:spacing w:line="520" w:lineRule="exact"/>
        <w:ind w:left="0"/>
        <w:rPr>
          <w:rFonts w:ascii="仿宋" w:hAnsi="仿宋" w:eastAsia="仿宋" w:cs="仿宋"/>
          <w:i w:val="0"/>
          <w:iCs w:val="0"/>
          <w:w w:val="80"/>
          <w:sz w:val="36"/>
          <w:szCs w:val="36"/>
        </w:rPr>
      </w:pPr>
      <w:r>
        <w:rPr>
          <w:rFonts w:hint="eastAsia" w:ascii="仿宋" w:hAnsi="仿宋" w:eastAsia="仿宋" w:cs="仿宋"/>
          <w:i w:val="0"/>
          <w:iCs w:val="0"/>
          <w:w w:val="80"/>
          <w:sz w:val="36"/>
          <w:szCs w:val="36"/>
        </w:rPr>
        <w:t>第四章       评审方法和程序</w:t>
      </w:r>
    </w:p>
    <w:p w14:paraId="53CF7416">
      <w:pPr>
        <w:rPr>
          <w:rFonts w:ascii="仿宋" w:hAnsi="仿宋" w:eastAsia="仿宋" w:cs="仿宋"/>
          <w:sz w:val="36"/>
          <w:szCs w:val="36"/>
        </w:rPr>
      </w:pPr>
    </w:p>
    <w:p w14:paraId="580BC4FD">
      <w:pPr>
        <w:pStyle w:val="23"/>
        <w:tabs>
          <w:tab w:val="left" w:pos="1050"/>
          <w:tab w:val="right" w:leader="dot" w:pos="9402"/>
        </w:tabs>
        <w:spacing w:line="520" w:lineRule="exact"/>
        <w:ind w:left="0"/>
        <w:rPr>
          <w:rFonts w:ascii="仿宋" w:hAnsi="仿宋" w:eastAsia="仿宋" w:cs="仿宋"/>
          <w:i w:val="0"/>
          <w:iCs w:val="0"/>
          <w:w w:val="80"/>
          <w:sz w:val="36"/>
          <w:szCs w:val="36"/>
        </w:rPr>
      </w:pPr>
      <w:r>
        <w:rPr>
          <w:rFonts w:hint="eastAsia" w:ascii="仿宋" w:hAnsi="仿宋" w:eastAsia="仿宋" w:cs="仿宋"/>
          <w:i w:val="0"/>
          <w:iCs w:val="0"/>
          <w:w w:val="80"/>
          <w:sz w:val="36"/>
          <w:szCs w:val="36"/>
        </w:rPr>
        <w:t>第五章       质疑提出和处理</w:t>
      </w:r>
    </w:p>
    <w:p w14:paraId="417D389A">
      <w:pPr>
        <w:rPr>
          <w:rFonts w:ascii="仿宋" w:hAnsi="仿宋" w:eastAsia="仿宋" w:cs="仿宋"/>
          <w:sz w:val="36"/>
          <w:szCs w:val="36"/>
        </w:rPr>
      </w:pPr>
    </w:p>
    <w:p w14:paraId="7F8849B7">
      <w:pPr>
        <w:pStyle w:val="23"/>
        <w:tabs>
          <w:tab w:val="left" w:pos="1050"/>
          <w:tab w:val="right" w:leader="dot" w:pos="9402"/>
        </w:tabs>
        <w:spacing w:line="520" w:lineRule="exact"/>
        <w:ind w:left="0"/>
        <w:rPr>
          <w:rFonts w:ascii="仿宋" w:hAnsi="仿宋" w:eastAsia="仿宋" w:cs="仿宋"/>
          <w:i w:val="0"/>
          <w:iCs w:val="0"/>
          <w:w w:val="80"/>
          <w:sz w:val="36"/>
          <w:szCs w:val="36"/>
        </w:rPr>
      </w:pPr>
      <w:r>
        <w:rPr>
          <w:rFonts w:hint="eastAsia" w:ascii="仿宋" w:hAnsi="仿宋" w:eastAsia="仿宋" w:cs="仿宋"/>
          <w:i w:val="0"/>
          <w:iCs w:val="0"/>
          <w:w w:val="80"/>
          <w:sz w:val="36"/>
          <w:szCs w:val="36"/>
        </w:rPr>
        <w:t>第六章       响应文件组成及格式</w:t>
      </w:r>
    </w:p>
    <w:p w14:paraId="3A5510EA">
      <w:pPr>
        <w:rPr>
          <w:rFonts w:ascii="仿宋" w:hAnsi="仿宋" w:eastAsia="仿宋" w:cs="仿宋"/>
          <w:sz w:val="36"/>
          <w:szCs w:val="36"/>
        </w:rPr>
      </w:pPr>
    </w:p>
    <w:p w14:paraId="3731F100">
      <w:pPr>
        <w:rPr>
          <w:rFonts w:ascii="仿宋" w:hAnsi="仿宋" w:eastAsia="仿宋" w:cs="仿宋"/>
          <w:sz w:val="36"/>
          <w:szCs w:val="36"/>
        </w:rPr>
      </w:pPr>
    </w:p>
    <w:p w14:paraId="404E8382">
      <w:pPr>
        <w:snapToGrid w:val="0"/>
        <w:spacing w:line="360" w:lineRule="auto"/>
        <w:rPr>
          <w:rFonts w:ascii="仿宋" w:hAnsi="仿宋" w:eastAsia="仿宋" w:cs="仿宋"/>
          <w:b/>
          <w:bCs/>
          <w:sz w:val="24"/>
          <w:szCs w:val="24"/>
        </w:rPr>
      </w:pPr>
      <w:r>
        <w:rPr>
          <w:rFonts w:hint="eastAsia" w:ascii="仿宋" w:hAnsi="仿宋" w:eastAsia="仿宋" w:cs="仿宋"/>
          <w:b/>
          <w:bCs/>
        </w:rPr>
        <w:br w:type="page"/>
      </w:r>
      <w:r>
        <w:rPr>
          <w:rFonts w:hint="eastAsia" w:ascii="仿宋" w:hAnsi="仿宋" w:eastAsia="仿宋" w:cs="仿宋"/>
          <w:b/>
          <w:bCs/>
          <w:sz w:val="24"/>
          <w:szCs w:val="24"/>
        </w:rPr>
        <w:t>尊敬的磋商供应商：</w:t>
      </w:r>
    </w:p>
    <w:p w14:paraId="61225764">
      <w:pPr>
        <w:snapToGrid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欢迎参加本采购项目的竞争性磋商。为了保证本次磋商项目顺利进行，请在制作响应文件之前，仔细阅读本竞争性磋商文件的各项条款，并按要求制作和递交响应文件。谢谢合作！</w:t>
      </w:r>
    </w:p>
    <w:p w14:paraId="51322CC7">
      <w:pPr>
        <w:snapToGrid w:val="0"/>
        <w:spacing w:line="360" w:lineRule="auto"/>
        <w:rPr>
          <w:rFonts w:ascii="仿宋" w:hAnsi="仿宋" w:eastAsia="仿宋" w:cs="仿宋"/>
          <w:b/>
          <w:bCs/>
          <w:sz w:val="15"/>
          <w:szCs w:val="15"/>
        </w:rPr>
      </w:pPr>
    </w:p>
    <w:bookmarkEnd w:id="0"/>
    <w:bookmarkEnd w:id="1"/>
    <w:bookmarkEnd w:id="2"/>
    <w:bookmarkEnd w:id="3"/>
    <w:bookmarkEnd w:id="4"/>
    <w:bookmarkEnd w:id="5"/>
    <w:bookmarkEnd w:id="6"/>
    <w:bookmarkEnd w:id="7"/>
    <w:bookmarkEnd w:id="8"/>
    <w:bookmarkEnd w:id="9"/>
    <w:p w14:paraId="509B3B70">
      <w:pPr>
        <w:autoSpaceDE w:val="0"/>
        <w:autoSpaceDN w:val="0"/>
        <w:adjustRightInd w:val="0"/>
        <w:snapToGrid w:val="0"/>
        <w:spacing w:line="300" w:lineRule="auto"/>
        <w:jc w:val="center"/>
        <w:outlineLvl w:val="0"/>
        <w:rPr>
          <w:rFonts w:ascii="仿宋" w:hAnsi="仿宋" w:eastAsia="仿宋" w:cs="宋体"/>
          <w:b/>
          <w:bCs/>
          <w:sz w:val="36"/>
          <w:szCs w:val="36"/>
          <w:lang w:val="zh-CN"/>
        </w:rPr>
      </w:pPr>
      <w:bookmarkStart w:id="10" w:name="_Toc521201597"/>
      <w:bookmarkStart w:id="11" w:name="_Toc94585340"/>
      <w:bookmarkStart w:id="12" w:name="_Toc11500280"/>
      <w:bookmarkStart w:id="13" w:name="_Toc11499584"/>
      <w:bookmarkStart w:id="14" w:name="_Toc12670503"/>
      <w:bookmarkStart w:id="15" w:name="_Toc521203418"/>
      <w:bookmarkStart w:id="16" w:name="_Toc11554639"/>
      <w:bookmarkStart w:id="17" w:name="_Toc8895739"/>
      <w:bookmarkStart w:id="18" w:name="_Toc94544744"/>
      <w:bookmarkStart w:id="19" w:name="_Toc94544828"/>
      <w:bookmarkStart w:id="20" w:name="_Toc363573854"/>
      <w:r>
        <w:rPr>
          <w:rFonts w:hint="eastAsia" w:ascii="仿宋" w:hAnsi="仿宋" w:eastAsia="仿宋" w:cs="宋体"/>
          <w:b/>
          <w:bCs/>
          <w:sz w:val="36"/>
          <w:szCs w:val="36"/>
          <w:lang w:val="zh-CN"/>
        </w:rPr>
        <w:t xml:space="preserve">第一章  </w:t>
      </w:r>
      <w:bookmarkStart w:id="21" w:name="OLE_LINK1"/>
      <w:bookmarkStart w:id="22" w:name="OLE_LINK2"/>
      <w:r>
        <w:rPr>
          <w:rFonts w:hint="eastAsia" w:ascii="仿宋" w:hAnsi="仿宋" w:eastAsia="仿宋" w:cs="宋体"/>
          <w:b/>
          <w:bCs/>
          <w:sz w:val="36"/>
          <w:szCs w:val="36"/>
          <w:lang w:val="zh-CN"/>
        </w:rPr>
        <w:t>竞争性磋商公告</w:t>
      </w:r>
    </w:p>
    <w:p w14:paraId="13147CA1">
      <w:pPr>
        <w:widowControl/>
        <w:shd w:val="clear" w:color="auto" w:fill="FFFFFF"/>
        <w:spacing w:line="440" w:lineRule="exact"/>
        <w:ind w:firstLine="505"/>
        <w:rPr>
          <w:rFonts w:ascii="仿宋" w:hAnsi="仿宋" w:eastAsia="仿宋" w:cs="宋体"/>
          <w:b/>
          <w:spacing w:val="7"/>
          <w:kern w:val="0"/>
          <w:sz w:val="24"/>
          <w:szCs w:val="24"/>
        </w:rPr>
      </w:pPr>
      <w:r>
        <w:rPr>
          <w:rFonts w:hint="eastAsia" w:ascii="仿宋" w:hAnsi="仿宋" w:eastAsia="仿宋" w:cs="宋体"/>
          <w:b/>
          <w:spacing w:val="7"/>
          <w:kern w:val="0"/>
          <w:sz w:val="24"/>
          <w:szCs w:val="24"/>
        </w:rPr>
        <w:t>项目概况</w:t>
      </w:r>
    </w:p>
    <w:p w14:paraId="3C9C4A25">
      <w:pPr>
        <w:widowControl/>
        <w:shd w:val="clear" w:color="auto" w:fill="FFFFFF"/>
        <w:spacing w:line="440" w:lineRule="exact"/>
        <w:ind w:firstLine="497" w:firstLineChars="196"/>
        <w:rPr>
          <w:rFonts w:ascii="仿宋" w:hAnsi="仿宋" w:eastAsia="仿宋" w:cs="宋体"/>
          <w:spacing w:val="7"/>
          <w:kern w:val="0"/>
          <w:sz w:val="24"/>
          <w:szCs w:val="24"/>
        </w:rPr>
      </w:pPr>
      <w:r>
        <w:rPr>
          <w:rFonts w:hint="eastAsia" w:ascii="仿宋" w:hAnsi="仿宋" w:eastAsia="仿宋" w:cs="宋体"/>
          <w:spacing w:val="7"/>
          <w:kern w:val="0"/>
          <w:sz w:val="24"/>
          <w:szCs w:val="24"/>
        </w:rPr>
        <w:t>南通市养老服务指导中心绿化养护及盆栽租摆服务项目的潜在供应商应至南通市民政局网站（http://mzj.nantong.gov.cn/）自行下载采购文件，并于2025年11月</w:t>
      </w:r>
      <w:r>
        <w:rPr>
          <w:rFonts w:hint="eastAsia" w:ascii="仿宋" w:hAnsi="仿宋" w:eastAsia="仿宋" w:cs="宋体"/>
          <w:spacing w:val="7"/>
          <w:kern w:val="0"/>
          <w:sz w:val="24"/>
          <w:szCs w:val="24"/>
          <w:lang w:val="en-US" w:eastAsia="zh-CN"/>
        </w:rPr>
        <w:t>27</w:t>
      </w:r>
      <w:r>
        <w:rPr>
          <w:rFonts w:hint="eastAsia" w:ascii="仿宋" w:hAnsi="仿宋" w:eastAsia="仿宋" w:cs="宋体"/>
          <w:spacing w:val="7"/>
          <w:kern w:val="0"/>
          <w:sz w:val="24"/>
          <w:szCs w:val="24"/>
        </w:rPr>
        <w:t>日14点30分（北京时间）前提交响应文件。</w:t>
      </w:r>
    </w:p>
    <w:p w14:paraId="18BE8EF8">
      <w:pPr>
        <w:widowControl/>
        <w:shd w:val="clear" w:color="auto" w:fill="FFFFFF"/>
        <w:spacing w:line="440" w:lineRule="exact"/>
        <w:ind w:firstLine="500" w:firstLineChars="196"/>
        <w:rPr>
          <w:rFonts w:ascii="仿宋" w:hAnsi="仿宋" w:eastAsia="仿宋" w:cs="宋体"/>
          <w:b/>
          <w:spacing w:val="7"/>
          <w:kern w:val="0"/>
          <w:sz w:val="24"/>
          <w:szCs w:val="24"/>
        </w:rPr>
      </w:pPr>
      <w:r>
        <w:rPr>
          <w:rFonts w:hint="eastAsia" w:ascii="仿宋" w:hAnsi="仿宋" w:eastAsia="仿宋" w:cs="宋体"/>
          <w:b/>
          <w:spacing w:val="7"/>
          <w:kern w:val="0"/>
          <w:sz w:val="24"/>
          <w:szCs w:val="24"/>
        </w:rPr>
        <w:t>一、项目基本情况</w:t>
      </w:r>
    </w:p>
    <w:p w14:paraId="7E090BE4">
      <w:pPr>
        <w:widowControl/>
        <w:shd w:val="clear" w:color="auto" w:fill="FFFFFF"/>
        <w:spacing w:line="440" w:lineRule="exact"/>
        <w:ind w:firstLine="503"/>
        <w:rPr>
          <w:rFonts w:ascii="仿宋" w:hAnsi="仿宋" w:eastAsia="仿宋" w:cs="宋体"/>
          <w:spacing w:val="7"/>
          <w:kern w:val="0"/>
          <w:sz w:val="24"/>
          <w:szCs w:val="24"/>
        </w:rPr>
      </w:pPr>
      <w:r>
        <w:rPr>
          <w:rFonts w:hint="eastAsia" w:ascii="仿宋" w:hAnsi="仿宋" w:eastAsia="仿宋" w:cs="宋体"/>
          <w:spacing w:val="7"/>
          <w:kern w:val="0"/>
          <w:sz w:val="24"/>
          <w:szCs w:val="24"/>
        </w:rPr>
        <w:t>项目名称：南通市养老服务指导中心绿化养护及盆栽租摆服务项目</w:t>
      </w:r>
    </w:p>
    <w:p w14:paraId="5DD1E848">
      <w:pPr>
        <w:widowControl/>
        <w:shd w:val="clear" w:color="auto" w:fill="FFFFFF"/>
        <w:spacing w:line="440" w:lineRule="exact"/>
        <w:ind w:firstLine="503"/>
        <w:rPr>
          <w:rFonts w:ascii="仿宋" w:hAnsi="仿宋" w:eastAsia="仿宋" w:cs="宋体"/>
          <w:spacing w:val="7"/>
          <w:kern w:val="0"/>
          <w:sz w:val="24"/>
          <w:szCs w:val="24"/>
        </w:rPr>
      </w:pPr>
      <w:r>
        <w:rPr>
          <w:rFonts w:hint="eastAsia" w:ascii="仿宋" w:hAnsi="仿宋" w:eastAsia="仿宋" w:cs="宋体"/>
          <w:spacing w:val="7"/>
          <w:kern w:val="0"/>
          <w:sz w:val="24"/>
          <w:szCs w:val="24"/>
        </w:rPr>
        <w:t>预算金额：3.1万元。</w:t>
      </w:r>
    </w:p>
    <w:p w14:paraId="7C71ACA1">
      <w:pPr>
        <w:widowControl/>
        <w:shd w:val="clear" w:color="auto" w:fill="FFFFFF"/>
        <w:spacing w:line="440" w:lineRule="exact"/>
        <w:ind w:firstLine="503"/>
        <w:rPr>
          <w:rFonts w:ascii="仿宋" w:hAnsi="仿宋" w:eastAsia="仿宋" w:cs="宋体"/>
          <w:spacing w:val="7"/>
          <w:kern w:val="0"/>
          <w:sz w:val="24"/>
          <w:szCs w:val="24"/>
        </w:rPr>
      </w:pPr>
      <w:r>
        <w:rPr>
          <w:rFonts w:hint="eastAsia" w:ascii="仿宋" w:hAnsi="仿宋" w:eastAsia="仿宋" w:cs="宋体"/>
          <w:spacing w:val="7"/>
          <w:kern w:val="0"/>
          <w:sz w:val="24"/>
          <w:szCs w:val="24"/>
        </w:rPr>
        <w:t>最高限价：3.1万元，磋商报价超过最高限价的为无效报价。</w:t>
      </w:r>
    </w:p>
    <w:p w14:paraId="0BE0576F">
      <w:pPr>
        <w:widowControl/>
        <w:shd w:val="clear" w:color="auto" w:fill="FFFFFF"/>
        <w:spacing w:line="440" w:lineRule="exact"/>
        <w:ind w:firstLine="503"/>
        <w:rPr>
          <w:rFonts w:ascii="仿宋" w:hAnsi="仿宋" w:eastAsia="仿宋" w:cs="宋体"/>
          <w:spacing w:val="7"/>
          <w:kern w:val="0"/>
          <w:sz w:val="24"/>
          <w:szCs w:val="24"/>
        </w:rPr>
      </w:pPr>
      <w:r>
        <w:rPr>
          <w:rFonts w:hint="eastAsia" w:ascii="仿宋" w:hAnsi="仿宋" w:eastAsia="仿宋" w:cs="宋体"/>
          <w:spacing w:val="7"/>
          <w:kern w:val="0"/>
          <w:sz w:val="24"/>
          <w:szCs w:val="24"/>
        </w:rPr>
        <w:t>采购需求：具体详见磋商文件，请仔细研究。</w:t>
      </w:r>
    </w:p>
    <w:p w14:paraId="6D3298AA">
      <w:pPr>
        <w:widowControl/>
        <w:shd w:val="clear" w:color="auto" w:fill="FFFFFF"/>
        <w:spacing w:line="440" w:lineRule="exact"/>
        <w:ind w:firstLine="503"/>
        <w:rPr>
          <w:rFonts w:ascii="仿宋" w:hAnsi="仿宋" w:eastAsia="仿宋" w:cs="宋体"/>
          <w:spacing w:val="7"/>
          <w:kern w:val="0"/>
          <w:sz w:val="24"/>
          <w:szCs w:val="24"/>
        </w:rPr>
      </w:pPr>
      <w:r>
        <w:rPr>
          <w:rFonts w:hint="eastAsia" w:ascii="仿宋" w:hAnsi="仿宋" w:eastAsia="仿宋" w:cs="宋体"/>
          <w:spacing w:val="7"/>
          <w:kern w:val="0"/>
          <w:sz w:val="24"/>
          <w:szCs w:val="24"/>
        </w:rPr>
        <w:t>合同履行期限：2026年1月1日～2026年12月31日。如成交供应商在合同期内服务质量高，经采购单位考核合格，在价格等所有条款不发生变化的情况下，可以采取1+N年［N≤2］方式续签合同，续签合同一年一签，续签合同最多不超过两次。</w:t>
      </w:r>
    </w:p>
    <w:p w14:paraId="5AADAB48">
      <w:pPr>
        <w:widowControl/>
        <w:shd w:val="clear" w:color="auto" w:fill="FFFFFF"/>
        <w:spacing w:line="440" w:lineRule="exact"/>
        <w:ind w:firstLine="503"/>
        <w:rPr>
          <w:rFonts w:ascii="仿宋" w:hAnsi="仿宋" w:eastAsia="仿宋" w:cs="宋体"/>
          <w:spacing w:val="7"/>
          <w:kern w:val="0"/>
          <w:sz w:val="24"/>
          <w:szCs w:val="24"/>
        </w:rPr>
      </w:pPr>
      <w:r>
        <w:rPr>
          <w:rFonts w:hint="eastAsia" w:ascii="仿宋" w:hAnsi="仿宋" w:eastAsia="仿宋" w:cs="宋体"/>
          <w:spacing w:val="7"/>
          <w:kern w:val="0"/>
          <w:sz w:val="24"/>
          <w:szCs w:val="24"/>
        </w:rPr>
        <w:t>本项目是否接受联合体投标：否。</w:t>
      </w:r>
    </w:p>
    <w:p w14:paraId="153647BE">
      <w:pPr>
        <w:widowControl/>
        <w:shd w:val="clear" w:color="auto" w:fill="FFFFFF"/>
        <w:spacing w:line="440" w:lineRule="exact"/>
        <w:ind w:firstLine="497" w:firstLineChars="195"/>
        <w:rPr>
          <w:rFonts w:ascii="仿宋" w:hAnsi="仿宋" w:eastAsia="仿宋" w:cs="宋体"/>
          <w:b/>
          <w:spacing w:val="7"/>
          <w:kern w:val="0"/>
          <w:sz w:val="24"/>
          <w:szCs w:val="24"/>
        </w:rPr>
      </w:pPr>
      <w:r>
        <w:rPr>
          <w:rFonts w:hint="eastAsia" w:ascii="仿宋" w:hAnsi="仿宋" w:eastAsia="仿宋" w:cs="宋体"/>
          <w:b/>
          <w:spacing w:val="7"/>
          <w:kern w:val="0"/>
          <w:sz w:val="24"/>
          <w:szCs w:val="24"/>
        </w:rPr>
        <w:t>二、供应商的资格要求：</w:t>
      </w:r>
    </w:p>
    <w:p w14:paraId="5917DF2C">
      <w:pPr>
        <w:widowControl/>
        <w:shd w:val="clear" w:color="auto" w:fill="FFFFFF"/>
        <w:spacing w:line="440" w:lineRule="exact"/>
        <w:ind w:firstLine="503"/>
        <w:rPr>
          <w:rFonts w:ascii="仿宋" w:hAnsi="仿宋" w:eastAsia="仿宋" w:cs="宋体"/>
          <w:spacing w:val="7"/>
          <w:kern w:val="0"/>
          <w:sz w:val="24"/>
          <w:szCs w:val="24"/>
        </w:rPr>
      </w:pPr>
      <w:r>
        <w:rPr>
          <w:rFonts w:ascii="仿宋" w:hAnsi="仿宋" w:eastAsia="仿宋" w:cs="宋体"/>
          <w:spacing w:val="7"/>
          <w:kern w:val="0"/>
          <w:sz w:val="24"/>
          <w:szCs w:val="24"/>
        </w:rPr>
        <w:t>1.满足《中华人民共和国政府采购法》第二十二条规定；</w:t>
      </w:r>
    </w:p>
    <w:p w14:paraId="288FBEA5">
      <w:pPr>
        <w:widowControl/>
        <w:shd w:val="clear" w:color="auto" w:fill="FFFFFF"/>
        <w:spacing w:line="440" w:lineRule="exact"/>
        <w:ind w:firstLine="503"/>
        <w:rPr>
          <w:rFonts w:ascii="仿宋" w:hAnsi="仿宋" w:eastAsia="仿宋" w:cs="宋体"/>
          <w:spacing w:val="7"/>
          <w:kern w:val="0"/>
          <w:sz w:val="24"/>
          <w:szCs w:val="24"/>
        </w:rPr>
      </w:pPr>
      <w:r>
        <w:rPr>
          <w:rFonts w:ascii="仿宋" w:hAnsi="仿宋" w:eastAsia="仿宋" w:cs="宋体"/>
          <w:spacing w:val="7"/>
          <w:kern w:val="0"/>
          <w:sz w:val="24"/>
          <w:szCs w:val="24"/>
        </w:rPr>
        <w:t>（1）具有独立承担民事责任的能力；</w:t>
      </w:r>
    </w:p>
    <w:p w14:paraId="63F3ECE3">
      <w:pPr>
        <w:widowControl/>
        <w:shd w:val="clear" w:color="auto" w:fill="FFFFFF"/>
        <w:spacing w:line="440" w:lineRule="exact"/>
        <w:ind w:firstLine="503"/>
        <w:rPr>
          <w:rFonts w:ascii="仿宋" w:hAnsi="仿宋" w:eastAsia="仿宋" w:cs="宋体"/>
          <w:spacing w:val="7"/>
          <w:kern w:val="0"/>
          <w:sz w:val="24"/>
          <w:szCs w:val="24"/>
        </w:rPr>
      </w:pPr>
      <w:r>
        <w:rPr>
          <w:rFonts w:ascii="仿宋" w:hAnsi="仿宋" w:eastAsia="仿宋" w:cs="宋体"/>
          <w:spacing w:val="7"/>
          <w:kern w:val="0"/>
          <w:sz w:val="24"/>
          <w:szCs w:val="24"/>
        </w:rPr>
        <w:t>（2）具有良好的商业信誉和健全的财务会计制度；</w:t>
      </w:r>
    </w:p>
    <w:p w14:paraId="53E4683B">
      <w:pPr>
        <w:widowControl/>
        <w:shd w:val="clear" w:color="auto" w:fill="FFFFFF"/>
        <w:spacing w:line="440" w:lineRule="exact"/>
        <w:ind w:firstLine="503"/>
        <w:rPr>
          <w:rFonts w:ascii="仿宋" w:hAnsi="仿宋" w:eastAsia="仿宋" w:cs="宋体"/>
          <w:spacing w:val="7"/>
          <w:kern w:val="0"/>
          <w:sz w:val="24"/>
          <w:szCs w:val="24"/>
        </w:rPr>
      </w:pPr>
      <w:r>
        <w:rPr>
          <w:rFonts w:ascii="仿宋" w:hAnsi="仿宋" w:eastAsia="仿宋" w:cs="宋体"/>
          <w:spacing w:val="7"/>
          <w:kern w:val="0"/>
          <w:sz w:val="24"/>
          <w:szCs w:val="24"/>
        </w:rPr>
        <w:t>（3）具有履行合同所必需的设备和专业技术能力；</w:t>
      </w:r>
    </w:p>
    <w:p w14:paraId="3A46C771">
      <w:pPr>
        <w:widowControl/>
        <w:shd w:val="clear" w:color="auto" w:fill="FFFFFF"/>
        <w:spacing w:line="440" w:lineRule="exact"/>
        <w:ind w:firstLine="503"/>
        <w:rPr>
          <w:rFonts w:ascii="仿宋" w:hAnsi="仿宋" w:eastAsia="仿宋" w:cs="宋体"/>
          <w:spacing w:val="7"/>
          <w:kern w:val="0"/>
          <w:sz w:val="24"/>
          <w:szCs w:val="24"/>
        </w:rPr>
      </w:pPr>
      <w:r>
        <w:rPr>
          <w:rFonts w:ascii="仿宋" w:hAnsi="仿宋" w:eastAsia="仿宋" w:cs="宋体"/>
          <w:spacing w:val="7"/>
          <w:kern w:val="0"/>
          <w:sz w:val="24"/>
          <w:szCs w:val="24"/>
        </w:rPr>
        <w:t>（4）有依法缴纳税收和社会保障资金的良好记录；</w:t>
      </w:r>
    </w:p>
    <w:p w14:paraId="0481E5D3">
      <w:pPr>
        <w:widowControl/>
        <w:shd w:val="clear" w:color="auto" w:fill="FFFFFF"/>
        <w:spacing w:line="440" w:lineRule="exact"/>
        <w:ind w:firstLine="503"/>
        <w:rPr>
          <w:rFonts w:ascii="仿宋" w:hAnsi="仿宋" w:eastAsia="仿宋" w:cs="宋体"/>
          <w:spacing w:val="7"/>
          <w:kern w:val="0"/>
          <w:sz w:val="24"/>
          <w:szCs w:val="24"/>
        </w:rPr>
      </w:pPr>
      <w:r>
        <w:rPr>
          <w:rFonts w:ascii="仿宋" w:hAnsi="仿宋" w:eastAsia="仿宋" w:cs="宋体"/>
          <w:spacing w:val="7"/>
          <w:kern w:val="0"/>
          <w:sz w:val="24"/>
          <w:szCs w:val="24"/>
        </w:rPr>
        <w:t>（5）参加政府采购活动前三年内，在经营活动中没有重大违法记录；</w:t>
      </w:r>
    </w:p>
    <w:p w14:paraId="345A862F">
      <w:pPr>
        <w:widowControl/>
        <w:shd w:val="clear" w:color="auto" w:fill="FFFFFF"/>
        <w:spacing w:line="440" w:lineRule="exact"/>
        <w:ind w:firstLine="503"/>
        <w:rPr>
          <w:rFonts w:ascii="仿宋" w:hAnsi="仿宋" w:eastAsia="仿宋" w:cs="宋体"/>
          <w:spacing w:val="7"/>
          <w:kern w:val="0"/>
          <w:sz w:val="24"/>
          <w:szCs w:val="24"/>
        </w:rPr>
      </w:pPr>
      <w:r>
        <w:rPr>
          <w:rFonts w:ascii="仿宋" w:hAnsi="仿宋" w:eastAsia="仿宋" w:cs="宋体"/>
          <w:spacing w:val="7"/>
          <w:kern w:val="0"/>
          <w:sz w:val="24"/>
          <w:szCs w:val="24"/>
        </w:rPr>
        <w:t>（6）法律、行政法规规定的其他条件。</w:t>
      </w:r>
    </w:p>
    <w:p w14:paraId="371E8E60">
      <w:pPr>
        <w:widowControl/>
        <w:shd w:val="clear" w:color="auto" w:fill="FFFFFF"/>
        <w:spacing w:line="440" w:lineRule="exact"/>
        <w:ind w:firstLine="503"/>
        <w:rPr>
          <w:rFonts w:ascii="仿宋" w:hAnsi="仿宋" w:eastAsia="仿宋" w:cs="宋体"/>
          <w:spacing w:val="7"/>
          <w:kern w:val="0"/>
          <w:sz w:val="24"/>
          <w:szCs w:val="24"/>
        </w:rPr>
      </w:pPr>
      <w:r>
        <w:rPr>
          <w:rFonts w:hint="eastAsia" w:ascii="仿宋" w:hAnsi="仿宋" w:eastAsia="仿宋" w:cs="宋体"/>
          <w:spacing w:val="7"/>
          <w:kern w:val="0"/>
          <w:sz w:val="24"/>
          <w:szCs w:val="24"/>
        </w:rPr>
        <w:t>2.</w:t>
      </w:r>
      <w:r>
        <w:rPr>
          <w:rFonts w:ascii="仿宋" w:hAnsi="仿宋" w:eastAsia="仿宋" w:cs="宋体"/>
          <w:spacing w:val="7"/>
          <w:kern w:val="0"/>
          <w:sz w:val="24"/>
          <w:szCs w:val="24"/>
        </w:rPr>
        <w:t>未被“信用中国”网站（www.creditchina.gov.cn）列入失信被执行人、重大税收违法案件当事人名单、政府采购严重失信行为记录名单；</w:t>
      </w:r>
    </w:p>
    <w:p w14:paraId="599877F0">
      <w:pPr>
        <w:widowControl/>
        <w:shd w:val="clear" w:color="auto" w:fill="FFFFFF"/>
        <w:spacing w:line="440" w:lineRule="exact"/>
        <w:ind w:firstLine="503"/>
        <w:rPr>
          <w:rFonts w:ascii="仿宋" w:hAnsi="仿宋" w:eastAsia="仿宋" w:cs="宋体"/>
          <w:spacing w:val="7"/>
          <w:kern w:val="0"/>
          <w:sz w:val="24"/>
          <w:szCs w:val="24"/>
        </w:rPr>
      </w:pPr>
      <w:r>
        <w:rPr>
          <w:rFonts w:hint="eastAsia" w:ascii="仿宋" w:hAnsi="仿宋" w:eastAsia="仿宋" w:cs="宋体"/>
          <w:spacing w:val="7"/>
          <w:kern w:val="0"/>
          <w:sz w:val="24"/>
          <w:szCs w:val="24"/>
        </w:rPr>
        <w:t>3.投标供应商需提供有效的法人或者其他组织的营业执照等证明文件。</w:t>
      </w:r>
    </w:p>
    <w:p w14:paraId="6992A26B">
      <w:pPr>
        <w:widowControl/>
        <w:shd w:val="clear" w:color="auto" w:fill="FFFFFF"/>
        <w:spacing w:line="440" w:lineRule="exact"/>
        <w:ind w:firstLine="503"/>
        <w:rPr>
          <w:rFonts w:ascii="仿宋" w:hAnsi="仿宋" w:eastAsia="仿宋" w:cs="宋体"/>
          <w:spacing w:val="7"/>
          <w:kern w:val="0"/>
          <w:sz w:val="24"/>
          <w:szCs w:val="24"/>
        </w:rPr>
      </w:pPr>
      <w:r>
        <w:rPr>
          <w:rFonts w:hint="eastAsia" w:ascii="仿宋" w:hAnsi="仿宋" w:eastAsia="仿宋" w:cs="宋体"/>
          <w:spacing w:val="7"/>
          <w:kern w:val="0"/>
          <w:sz w:val="24"/>
          <w:szCs w:val="24"/>
        </w:rPr>
        <w:t>4.供应商法定代表人参加磋商的，必须提供法定代表人身份证明及法定代表人本人身份证复印件；非法定代表人参加磋商的，必须提供法定代表人签字或盖章的授权委托书及法定代表人、被授权人的两人身份证的复印件。</w:t>
      </w:r>
    </w:p>
    <w:p w14:paraId="7D8FFBD6">
      <w:pPr>
        <w:widowControl/>
        <w:shd w:val="clear" w:color="auto" w:fill="FFFFFF"/>
        <w:spacing w:line="440" w:lineRule="exact"/>
        <w:ind w:firstLine="503"/>
        <w:rPr>
          <w:rFonts w:ascii="仿宋" w:hAnsi="仿宋" w:eastAsia="仿宋" w:cs="宋体"/>
          <w:color w:val="000000" w:themeColor="text1"/>
          <w:spacing w:val="7"/>
          <w:kern w:val="0"/>
          <w:sz w:val="24"/>
          <w:szCs w:val="24"/>
          <w14:textFill>
            <w14:solidFill>
              <w14:schemeClr w14:val="tx1"/>
            </w14:solidFill>
          </w14:textFill>
        </w:rPr>
      </w:pPr>
      <w:r>
        <w:rPr>
          <w:rFonts w:hint="eastAsia" w:ascii="仿宋" w:hAnsi="仿宋" w:eastAsia="仿宋" w:cs="宋体"/>
          <w:color w:val="000000" w:themeColor="text1"/>
          <w:spacing w:val="7"/>
          <w:kern w:val="0"/>
          <w:sz w:val="24"/>
          <w:szCs w:val="24"/>
          <w14:textFill>
            <w14:solidFill>
              <w14:schemeClr w14:val="tx1"/>
            </w14:solidFill>
          </w14:textFill>
        </w:rPr>
        <w:t>5.项目负责人资格要求：具备园林绿化等相关专业职称证书。提供身份证和职称证书复印件及2025年以来任意一个月社保缴纳记录。</w:t>
      </w:r>
    </w:p>
    <w:p w14:paraId="292BD81E">
      <w:pPr>
        <w:widowControl/>
        <w:shd w:val="clear" w:color="auto" w:fill="FFFFFF"/>
        <w:spacing w:line="440" w:lineRule="exact"/>
        <w:ind w:firstLine="503"/>
        <w:rPr>
          <w:rFonts w:ascii="仿宋" w:hAnsi="仿宋" w:eastAsia="仿宋" w:cs="宋体"/>
          <w:spacing w:val="7"/>
          <w:kern w:val="0"/>
          <w:sz w:val="24"/>
          <w:szCs w:val="24"/>
        </w:rPr>
      </w:pPr>
      <w:r>
        <w:rPr>
          <w:rFonts w:hint="eastAsia" w:ascii="仿宋" w:hAnsi="仿宋" w:eastAsia="仿宋" w:cs="宋体"/>
          <w:spacing w:val="7"/>
          <w:kern w:val="0"/>
          <w:sz w:val="24"/>
          <w:szCs w:val="24"/>
        </w:rPr>
        <w:t>6</w:t>
      </w:r>
      <w:r>
        <w:rPr>
          <w:rFonts w:ascii="仿宋" w:hAnsi="仿宋" w:eastAsia="仿宋" w:cs="宋体"/>
          <w:spacing w:val="7"/>
          <w:kern w:val="0"/>
          <w:sz w:val="24"/>
          <w:szCs w:val="24"/>
        </w:rPr>
        <w:t>.落实政府采购政策需满足的资格要求：</w:t>
      </w:r>
      <w:r>
        <w:rPr>
          <w:rFonts w:ascii="仿宋" w:hAnsi="仿宋" w:eastAsia="仿宋" w:cs="宋体"/>
          <w:spacing w:val="7"/>
          <w:kern w:val="0"/>
          <w:sz w:val="24"/>
          <w:szCs w:val="24"/>
          <w:u w:val="single"/>
        </w:rPr>
        <w:t>本项目专门面向中小微型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w:t>
      </w:r>
    </w:p>
    <w:p w14:paraId="246DA57D">
      <w:pPr>
        <w:widowControl/>
        <w:shd w:val="clear" w:color="auto" w:fill="FFFFFF"/>
        <w:spacing w:line="440" w:lineRule="exact"/>
        <w:ind w:firstLine="495" w:firstLineChars="195"/>
        <w:rPr>
          <w:rFonts w:ascii="仿宋" w:hAnsi="仿宋" w:eastAsia="仿宋" w:cs="宋体"/>
          <w:bCs/>
          <w:spacing w:val="7"/>
          <w:kern w:val="0"/>
          <w:sz w:val="24"/>
          <w:szCs w:val="24"/>
        </w:rPr>
      </w:pPr>
      <w:r>
        <w:rPr>
          <w:rFonts w:hint="eastAsia" w:ascii="仿宋" w:hAnsi="仿宋" w:eastAsia="仿宋" w:cs="宋体"/>
          <w:bCs/>
          <w:spacing w:val="7"/>
          <w:kern w:val="0"/>
          <w:sz w:val="24"/>
          <w:szCs w:val="24"/>
        </w:rPr>
        <w:t>7.供应商单位负责人为同一人或者存在直接控股、管理关系的不同供应商，不得同时参加同一合同项下的采购活动。</w:t>
      </w:r>
    </w:p>
    <w:p w14:paraId="4307EFBF">
      <w:pPr>
        <w:widowControl/>
        <w:shd w:val="clear" w:color="auto" w:fill="FFFFFF"/>
        <w:spacing w:line="440" w:lineRule="exact"/>
        <w:ind w:firstLine="497" w:firstLineChars="195"/>
        <w:rPr>
          <w:rFonts w:ascii="仿宋" w:hAnsi="仿宋" w:eastAsia="仿宋" w:cs="宋体"/>
          <w:b/>
          <w:spacing w:val="7"/>
          <w:kern w:val="0"/>
          <w:sz w:val="24"/>
          <w:szCs w:val="24"/>
        </w:rPr>
      </w:pPr>
      <w:r>
        <w:rPr>
          <w:rFonts w:hint="eastAsia" w:ascii="仿宋" w:hAnsi="仿宋" w:eastAsia="仿宋" w:cs="宋体"/>
          <w:b/>
          <w:spacing w:val="7"/>
          <w:kern w:val="0"/>
          <w:sz w:val="24"/>
          <w:szCs w:val="24"/>
        </w:rPr>
        <w:t>三、获取采购文件</w:t>
      </w:r>
    </w:p>
    <w:p w14:paraId="1CEE7DC9">
      <w:pPr>
        <w:widowControl/>
        <w:shd w:val="clear" w:color="auto" w:fill="FFFFFF"/>
        <w:spacing w:line="440" w:lineRule="exact"/>
        <w:ind w:firstLine="488"/>
        <w:rPr>
          <w:rFonts w:ascii="仿宋" w:hAnsi="仿宋" w:eastAsia="仿宋" w:cs="宋体"/>
          <w:spacing w:val="7"/>
          <w:kern w:val="0"/>
          <w:sz w:val="24"/>
          <w:szCs w:val="24"/>
        </w:rPr>
      </w:pPr>
      <w:r>
        <w:rPr>
          <w:rFonts w:hint="eastAsia" w:ascii="仿宋" w:hAnsi="仿宋" w:eastAsia="仿宋" w:cs="宋体"/>
          <w:spacing w:val="7"/>
          <w:kern w:val="0"/>
          <w:sz w:val="24"/>
          <w:szCs w:val="24"/>
        </w:rPr>
        <w:t>时间：2025年11月</w:t>
      </w:r>
      <w:r>
        <w:rPr>
          <w:rFonts w:hint="eastAsia" w:ascii="仿宋" w:hAnsi="仿宋" w:eastAsia="仿宋" w:cs="宋体"/>
          <w:spacing w:val="7"/>
          <w:kern w:val="0"/>
          <w:sz w:val="24"/>
          <w:szCs w:val="24"/>
          <w:lang w:val="en-US" w:eastAsia="zh-CN"/>
        </w:rPr>
        <w:t>13</w:t>
      </w:r>
      <w:r>
        <w:rPr>
          <w:rFonts w:hint="eastAsia" w:ascii="仿宋" w:hAnsi="仿宋" w:eastAsia="仿宋" w:cs="宋体"/>
          <w:spacing w:val="7"/>
          <w:kern w:val="0"/>
          <w:sz w:val="24"/>
          <w:szCs w:val="24"/>
        </w:rPr>
        <w:t>日 至2025年</w:t>
      </w:r>
      <w:r>
        <w:rPr>
          <w:rFonts w:hint="eastAsia" w:ascii="仿宋" w:hAnsi="仿宋" w:eastAsia="仿宋" w:cs="宋体"/>
          <w:sz w:val="24"/>
          <w:szCs w:val="24"/>
        </w:rPr>
        <w:t>11</w:t>
      </w:r>
      <w:r>
        <w:rPr>
          <w:rFonts w:hint="eastAsia" w:ascii="仿宋" w:hAnsi="仿宋" w:eastAsia="仿宋" w:cs="宋体"/>
          <w:spacing w:val="7"/>
          <w:kern w:val="0"/>
          <w:sz w:val="24"/>
          <w:szCs w:val="24"/>
        </w:rPr>
        <w:t>月2</w:t>
      </w:r>
      <w:r>
        <w:rPr>
          <w:rFonts w:hint="eastAsia" w:ascii="仿宋" w:hAnsi="仿宋" w:eastAsia="仿宋" w:cs="宋体"/>
          <w:spacing w:val="7"/>
          <w:kern w:val="0"/>
          <w:sz w:val="24"/>
          <w:szCs w:val="24"/>
          <w:lang w:val="en-US" w:eastAsia="zh-CN"/>
        </w:rPr>
        <w:t>7</w:t>
      </w:r>
      <w:r>
        <w:rPr>
          <w:rFonts w:hint="eastAsia" w:ascii="仿宋" w:hAnsi="仿宋" w:eastAsia="仿宋" w:cs="宋体"/>
          <w:spacing w:val="7"/>
          <w:kern w:val="0"/>
          <w:sz w:val="24"/>
          <w:szCs w:val="24"/>
        </w:rPr>
        <w:t>日。</w:t>
      </w:r>
    </w:p>
    <w:p w14:paraId="4AF245AD">
      <w:pPr>
        <w:widowControl/>
        <w:shd w:val="clear" w:color="auto" w:fill="FFFFFF"/>
        <w:spacing w:line="440" w:lineRule="exact"/>
        <w:ind w:firstLine="488"/>
        <w:rPr>
          <w:rFonts w:ascii="仿宋" w:hAnsi="仿宋" w:eastAsia="仿宋" w:cs="宋体"/>
          <w:spacing w:val="7"/>
          <w:kern w:val="0"/>
          <w:sz w:val="24"/>
          <w:szCs w:val="24"/>
        </w:rPr>
      </w:pPr>
      <w:r>
        <w:rPr>
          <w:rFonts w:hint="eastAsia" w:ascii="仿宋" w:hAnsi="仿宋" w:eastAsia="仿宋" w:cs="宋体"/>
          <w:spacing w:val="7"/>
          <w:kern w:val="0"/>
          <w:sz w:val="24"/>
          <w:szCs w:val="24"/>
        </w:rPr>
        <w:t>地点：南通市民政局网站（http://mzj.nantong.gov.cn/）</w:t>
      </w:r>
    </w:p>
    <w:p w14:paraId="2E3CB908">
      <w:pPr>
        <w:widowControl/>
        <w:shd w:val="clear" w:color="auto" w:fill="FFFFFF"/>
        <w:spacing w:line="440" w:lineRule="exact"/>
        <w:ind w:firstLine="488"/>
        <w:rPr>
          <w:rFonts w:ascii="仿宋" w:hAnsi="仿宋" w:eastAsia="仿宋" w:cs="宋体"/>
          <w:spacing w:val="7"/>
          <w:kern w:val="0"/>
          <w:sz w:val="24"/>
          <w:szCs w:val="24"/>
        </w:rPr>
      </w:pPr>
      <w:r>
        <w:rPr>
          <w:rFonts w:hint="eastAsia" w:ascii="仿宋" w:hAnsi="仿宋" w:eastAsia="仿宋" w:cs="宋体"/>
          <w:spacing w:val="7"/>
          <w:kern w:val="0"/>
          <w:sz w:val="24"/>
          <w:szCs w:val="24"/>
        </w:rPr>
        <w:t xml:space="preserve">方式：自行下载，无需报名。  </w:t>
      </w:r>
    </w:p>
    <w:p w14:paraId="40C5FBCF">
      <w:pPr>
        <w:widowControl/>
        <w:shd w:val="clear" w:color="auto" w:fill="FFFFFF"/>
        <w:spacing w:line="440" w:lineRule="exact"/>
        <w:ind w:firstLine="497" w:firstLineChars="195"/>
        <w:rPr>
          <w:rFonts w:ascii="仿宋" w:hAnsi="仿宋" w:eastAsia="仿宋" w:cs="宋体"/>
          <w:b/>
          <w:spacing w:val="7"/>
          <w:kern w:val="0"/>
          <w:sz w:val="24"/>
          <w:szCs w:val="24"/>
        </w:rPr>
      </w:pPr>
      <w:r>
        <w:rPr>
          <w:rFonts w:hint="eastAsia" w:ascii="仿宋" w:hAnsi="仿宋" w:eastAsia="仿宋" w:cs="宋体"/>
          <w:b/>
          <w:spacing w:val="7"/>
          <w:kern w:val="0"/>
          <w:sz w:val="24"/>
          <w:szCs w:val="24"/>
        </w:rPr>
        <w:t>四、响应文件提交</w:t>
      </w:r>
    </w:p>
    <w:p w14:paraId="2A227732">
      <w:pPr>
        <w:widowControl/>
        <w:shd w:val="clear" w:color="auto" w:fill="FFFFFF"/>
        <w:spacing w:line="440" w:lineRule="exact"/>
        <w:ind w:firstLine="503"/>
        <w:rPr>
          <w:rFonts w:ascii="仿宋" w:hAnsi="仿宋" w:eastAsia="仿宋" w:cs="宋体"/>
          <w:spacing w:val="7"/>
          <w:kern w:val="0"/>
          <w:sz w:val="24"/>
          <w:szCs w:val="24"/>
        </w:rPr>
      </w:pPr>
      <w:r>
        <w:rPr>
          <w:rFonts w:hint="eastAsia" w:ascii="仿宋" w:hAnsi="仿宋" w:eastAsia="仿宋" w:cs="宋体"/>
          <w:spacing w:val="7"/>
          <w:kern w:val="0"/>
          <w:sz w:val="24"/>
          <w:szCs w:val="24"/>
        </w:rPr>
        <w:t>截止时间：2025年11月</w:t>
      </w:r>
      <w:r>
        <w:rPr>
          <w:rFonts w:hint="eastAsia" w:ascii="仿宋" w:hAnsi="仿宋" w:eastAsia="仿宋" w:cs="宋体"/>
          <w:spacing w:val="7"/>
          <w:kern w:val="0"/>
          <w:sz w:val="24"/>
          <w:szCs w:val="24"/>
          <w:lang w:val="en-US" w:eastAsia="zh-CN"/>
        </w:rPr>
        <w:t>27</w:t>
      </w:r>
      <w:r>
        <w:rPr>
          <w:rFonts w:hint="eastAsia" w:ascii="仿宋" w:hAnsi="仿宋" w:eastAsia="仿宋" w:cs="宋体"/>
          <w:spacing w:val="7"/>
          <w:kern w:val="0"/>
          <w:sz w:val="24"/>
          <w:szCs w:val="24"/>
        </w:rPr>
        <w:t>日14点30分（北京时间）</w:t>
      </w:r>
    </w:p>
    <w:p w14:paraId="1AE8CFB0">
      <w:pPr>
        <w:widowControl/>
        <w:shd w:val="clear" w:color="auto" w:fill="FFFFFF"/>
        <w:spacing w:line="440" w:lineRule="exact"/>
        <w:ind w:firstLine="503"/>
        <w:rPr>
          <w:rFonts w:ascii="仿宋" w:hAnsi="仿宋" w:eastAsia="仿宋" w:cs="宋体"/>
          <w:spacing w:val="7"/>
          <w:kern w:val="0"/>
          <w:sz w:val="24"/>
          <w:szCs w:val="24"/>
        </w:rPr>
      </w:pPr>
      <w:r>
        <w:rPr>
          <w:rFonts w:hint="eastAsia" w:ascii="仿宋" w:hAnsi="仿宋" w:eastAsia="仿宋" w:cs="宋体"/>
          <w:spacing w:val="7"/>
          <w:kern w:val="0"/>
          <w:sz w:val="24"/>
          <w:szCs w:val="24"/>
        </w:rPr>
        <w:t>逾时，截止时间后送达的响应</w:t>
      </w:r>
      <w:r>
        <w:rPr>
          <w:rFonts w:hint="eastAsia" w:ascii="仿宋" w:hAnsi="仿宋" w:eastAsia="仿宋" w:cs="宋体"/>
          <w:spacing w:val="7"/>
          <w:kern w:val="0"/>
          <w:sz w:val="24"/>
          <w:szCs w:val="24"/>
          <w:lang w:eastAsia="zh-CN"/>
        </w:rPr>
        <w:t>文件</w:t>
      </w:r>
      <w:r>
        <w:rPr>
          <w:rFonts w:hint="eastAsia" w:ascii="仿宋" w:hAnsi="仿宋" w:eastAsia="仿宋" w:cs="宋体"/>
          <w:spacing w:val="7"/>
          <w:kern w:val="0"/>
          <w:sz w:val="24"/>
          <w:szCs w:val="24"/>
        </w:rPr>
        <w:t>采购人将拒收。</w:t>
      </w:r>
    </w:p>
    <w:p w14:paraId="7F4B28EE">
      <w:pPr>
        <w:widowControl/>
        <w:shd w:val="clear" w:color="auto" w:fill="FFFFFF"/>
        <w:spacing w:line="440" w:lineRule="exact"/>
        <w:ind w:firstLine="495" w:firstLineChars="195"/>
        <w:rPr>
          <w:rFonts w:ascii="仿宋" w:hAnsi="仿宋" w:eastAsia="仿宋" w:cs="宋体"/>
          <w:spacing w:val="7"/>
          <w:kern w:val="0"/>
          <w:sz w:val="24"/>
          <w:szCs w:val="24"/>
        </w:rPr>
      </w:pPr>
      <w:r>
        <w:rPr>
          <w:rFonts w:hint="eastAsia" w:ascii="仿宋" w:hAnsi="仿宋" w:eastAsia="仿宋" w:cs="宋体"/>
          <w:spacing w:val="7"/>
          <w:kern w:val="0"/>
          <w:sz w:val="24"/>
          <w:szCs w:val="24"/>
        </w:rPr>
        <w:t>地点：</w:t>
      </w:r>
      <w:r>
        <w:rPr>
          <w:rFonts w:hint="eastAsia" w:ascii="仿宋" w:hAnsi="仿宋" w:eastAsia="仿宋" w:cs="宋体"/>
          <w:b/>
          <w:bCs/>
          <w:spacing w:val="7"/>
          <w:kern w:val="0"/>
          <w:sz w:val="24"/>
          <w:szCs w:val="24"/>
          <w:u w:val="single"/>
        </w:rPr>
        <w:t>南通市养老服务指导中心D幢三楼会议室</w:t>
      </w:r>
      <w:r>
        <w:rPr>
          <w:rFonts w:hint="eastAsia" w:ascii="仿宋" w:hAnsi="仿宋" w:eastAsia="仿宋" w:cs="宋体"/>
          <w:spacing w:val="7"/>
          <w:kern w:val="0"/>
          <w:sz w:val="24"/>
          <w:szCs w:val="24"/>
        </w:rPr>
        <w:t>，如有变动另行通知。</w:t>
      </w:r>
    </w:p>
    <w:p w14:paraId="599208F4">
      <w:pPr>
        <w:widowControl/>
        <w:shd w:val="clear" w:color="auto" w:fill="FFFFFF"/>
        <w:spacing w:line="440" w:lineRule="exact"/>
        <w:ind w:firstLine="497" w:firstLineChars="195"/>
        <w:rPr>
          <w:rFonts w:ascii="仿宋" w:hAnsi="仿宋" w:eastAsia="仿宋" w:cs="宋体"/>
          <w:b/>
          <w:spacing w:val="7"/>
          <w:kern w:val="0"/>
          <w:sz w:val="24"/>
          <w:szCs w:val="24"/>
        </w:rPr>
      </w:pPr>
      <w:r>
        <w:rPr>
          <w:rFonts w:hint="eastAsia" w:ascii="仿宋" w:hAnsi="仿宋" w:eastAsia="仿宋" w:cs="宋体"/>
          <w:b/>
          <w:spacing w:val="7"/>
          <w:kern w:val="0"/>
          <w:sz w:val="24"/>
          <w:szCs w:val="24"/>
        </w:rPr>
        <w:t>五、开启</w:t>
      </w:r>
    </w:p>
    <w:p w14:paraId="1C4FC66A">
      <w:pPr>
        <w:widowControl/>
        <w:shd w:val="clear" w:color="auto" w:fill="FFFFFF"/>
        <w:spacing w:line="440" w:lineRule="exact"/>
        <w:ind w:firstLine="503"/>
        <w:rPr>
          <w:rFonts w:ascii="仿宋" w:hAnsi="仿宋" w:eastAsia="仿宋" w:cs="宋体"/>
          <w:spacing w:val="7"/>
          <w:kern w:val="0"/>
          <w:sz w:val="24"/>
          <w:szCs w:val="24"/>
        </w:rPr>
      </w:pPr>
      <w:r>
        <w:rPr>
          <w:rFonts w:hint="eastAsia" w:ascii="仿宋" w:hAnsi="仿宋" w:eastAsia="仿宋" w:cs="宋体"/>
          <w:spacing w:val="7"/>
          <w:kern w:val="0"/>
          <w:sz w:val="24"/>
          <w:szCs w:val="24"/>
        </w:rPr>
        <w:t>时间：2025年11月2</w:t>
      </w:r>
      <w:r>
        <w:rPr>
          <w:rFonts w:hint="eastAsia" w:ascii="仿宋" w:hAnsi="仿宋" w:eastAsia="仿宋" w:cs="宋体"/>
          <w:spacing w:val="7"/>
          <w:kern w:val="0"/>
          <w:sz w:val="24"/>
          <w:szCs w:val="24"/>
          <w:lang w:val="en-US" w:eastAsia="zh-CN"/>
        </w:rPr>
        <w:t>7</w:t>
      </w:r>
      <w:bookmarkStart w:id="39" w:name="_GoBack"/>
      <w:bookmarkEnd w:id="39"/>
      <w:r>
        <w:rPr>
          <w:rFonts w:hint="eastAsia" w:ascii="仿宋" w:hAnsi="仿宋" w:eastAsia="仿宋" w:cs="宋体"/>
          <w:spacing w:val="7"/>
          <w:kern w:val="0"/>
          <w:sz w:val="24"/>
          <w:szCs w:val="24"/>
        </w:rPr>
        <w:t>日14点30分（北京时间）</w:t>
      </w:r>
    </w:p>
    <w:p w14:paraId="11EFE6D2">
      <w:pPr>
        <w:widowControl/>
        <w:shd w:val="clear" w:color="auto" w:fill="FFFFFF"/>
        <w:spacing w:line="440" w:lineRule="exact"/>
        <w:ind w:firstLine="503"/>
        <w:rPr>
          <w:rFonts w:ascii="仿宋" w:hAnsi="仿宋" w:eastAsia="仿宋" w:cs="宋体"/>
          <w:spacing w:val="7"/>
          <w:kern w:val="0"/>
          <w:sz w:val="24"/>
          <w:szCs w:val="24"/>
        </w:rPr>
      </w:pPr>
      <w:r>
        <w:rPr>
          <w:rFonts w:hint="eastAsia" w:ascii="仿宋" w:hAnsi="仿宋" w:eastAsia="仿宋" w:cs="宋体"/>
          <w:spacing w:val="7"/>
          <w:kern w:val="0"/>
          <w:sz w:val="24"/>
          <w:szCs w:val="24"/>
        </w:rPr>
        <w:t>地点：</w:t>
      </w:r>
      <w:r>
        <w:rPr>
          <w:rFonts w:hint="eastAsia" w:ascii="仿宋" w:hAnsi="仿宋" w:eastAsia="仿宋" w:cs="宋体"/>
          <w:b/>
          <w:bCs/>
          <w:spacing w:val="7"/>
          <w:kern w:val="0"/>
          <w:sz w:val="24"/>
          <w:szCs w:val="24"/>
          <w:u w:val="single"/>
        </w:rPr>
        <w:t>南通市养老服务指导中心D幢三楼会议室</w:t>
      </w:r>
      <w:r>
        <w:rPr>
          <w:rFonts w:hint="eastAsia" w:ascii="仿宋" w:hAnsi="仿宋" w:eastAsia="仿宋" w:cs="宋体"/>
          <w:spacing w:val="7"/>
          <w:kern w:val="0"/>
          <w:sz w:val="24"/>
          <w:szCs w:val="24"/>
        </w:rPr>
        <w:t>，如有变动另行通知。</w:t>
      </w:r>
    </w:p>
    <w:p w14:paraId="7FC484A4">
      <w:pPr>
        <w:snapToGrid w:val="0"/>
        <w:spacing w:line="440" w:lineRule="exact"/>
        <w:ind w:firstLine="510" w:firstLineChars="200"/>
        <w:contextualSpacing/>
        <w:rPr>
          <w:rFonts w:ascii="仿宋" w:hAnsi="仿宋" w:eastAsia="仿宋" w:cs="宋体"/>
          <w:b/>
          <w:spacing w:val="7"/>
          <w:kern w:val="0"/>
          <w:sz w:val="24"/>
          <w:szCs w:val="24"/>
        </w:rPr>
      </w:pPr>
      <w:r>
        <w:rPr>
          <w:rFonts w:hint="eastAsia" w:ascii="仿宋" w:hAnsi="仿宋" w:eastAsia="仿宋" w:cs="宋体"/>
          <w:b/>
          <w:spacing w:val="7"/>
          <w:kern w:val="0"/>
          <w:sz w:val="24"/>
          <w:szCs w:val="24"/>
        </w:rPr>
        <w:t>六、公告期限</w:t>
      </w:r>
    </w:p>
    <w:p w14:paraId="76612102">
      <w:pPr>
        <w:widowControl/>
        <w:shd w:val="clear" w:color="auto" w:fill="FFFFFF"/>
        <w:spacing w:line="440" w:lineRule="exact"/>
        <w:ind w:firstLine="505"/>
        <w:rPr>
          <w:rFonts w:ascii="仿宋" w:hAnsi="仿宋" w:eastAsia="仿宋" w:cs="宋体"/>
          <w:spacing w:val="7"/>
          <w:kern w:val="0"/>
          <w:sz w:val="24"/>
          <w:szCs w:val="24"/>
        </w:rPr>
      </w:pPr>
      <w:r>
        <w:rPr>
          <w:rFonts w:hint="eastAsia" w:ascii="仿宋" w:hAnsi="仿宋" w:eastAsia="仿宋" w:cs="宋体"/>
          <w:spacing w:val="7"/>
          <w:kern w:val="0"/>
          <w:sz w:val="24"/>
          <w:szCs w:val="24"/>
        </w:rPr>
        <w:t>自本公告发布之日起5个工作日。</w:t>
      </w:r>
    </w:p>
    <w:p w14:paraId="033D1393">
      <w:pPr>
        <w:widowControl/>
        <w:shd w:val="clear" w:color="auto" w:fill="FFFFFF"/>
        <w:spacing w:line="440" w:lineRule="exact"/>
        <w:ind w:firstLine="497" w:firstLineChars="195"/>
        <w:rPr>
          <w:rFonts w:ascii="仿宋" w:hAnsi="仿宋" w:eastAsia="仿宋" w:cs="宋体"/>
          <w:b/>
          <w:spacing w:val="7"/>
          <w:kern w:val="0"/>
          <w:sz w:val="24"/>
          <w:szCs w:val="24"/>
        </w:rPr>
      </w:pPr>
      <w:r>
        <w:rPr>
          <w:rFonts w:hint="eastAsia" w:ascii="仿宋" w:hAnsi="仿宋" w:eastAsia="仿宋" w:cs="宋体"/>
          <w:b/>
          <w:spacing w:val="7"/>
          <w:kern w:val="0"/>
          <w:sz w:val="24"/>
          <w:szCs w:val="24"/>
        </w:rPr>
        <w:t>七、其他补充事宜</w:t>
      </w:r>
    </w:p>
    <w:p w14:paraId="5F94F3D3">
      <w:pPr>
        <w:widowControl/>
        <w:shd w:val="clear" w:color="auto" w:fill="FFFFFF"/>
        <w:spacing w:line="440" w:lineRule="exact"/>
        <w:ind w:firstLine="505"/>
        <w:rPr>
          <w:rFonts w:ascii="仿宋" w:hAnsi="仿宋" w:eastAsia="仿宋" w:cs="宋体"/>
          <w:spacing w:val="7"/>
          <w:kern w:val="0"/>
          <w:sz w:val="24"/>
          <w:szCs w:val="24"/>
        </w:rPr>
      </w:pPr>
      <w:r>
        <w:rPr>
          <w:rFonts w:hint="eastAsia" w:ascii="仿宋" w:hAnsi="仿宋" w:eastAsia="仿宋" w:cs="宋体"/>
          <w:spacing w:val="7"/>
          <w:kern w:val="0"/>
          <w:sz w:val="24"/>
          <w:szCs w:val="24"/>
        </w:rPr>
        <w:t>1.投标保证金：免收</w:t>
      </w:r>
    </w:p>
    <w:p w14:paraId="26D8D8E6">
      <w:pPr>
        <w:widowControl/>
        <w:shd w:val="clear" w:color="auto" w:fill="FFFFFF"/>
        <w:spacing w:line="440" w:lineRule="exact"/>
        <w:ind w:firstLine="505"/>
        <w:rPr>
          <w:rFonts w:ascii="仿宋" w:hAnsi="仿宋" w:eastAsia="仿宋" w:cs="宋体"/>
          <w:spacing w:val="7"/>
          <w:kern w:val="0"/>
          <w:sz w:val="24"/>
          <w:szCs w:val="24"/>
        </w:rPr>
      </w:pPr>
      <w:r>
        <w:rPr>
          <w:rFonts w:hint="eastAsia" w:ascii="仿宋" w:hAnsi="仿宋" w:eastAsia="仿宋" w:cs="宋体"/>
          <w:spacing w:val="7"/>
          <w:kern w:val="0"/>
          <w:sz w:val="24"/>
          <w:szCs w:val="24"/>
        </w:rPr>
        <w:t>2.项目磋商活动模式：见面磋商模式，供应商在南通市养老服务指导中心D幢三楼会议室参加磋商活动。</w:t>
      </w:r>
    </w:p>
    <w:p w14:paraId="147117E4">
      <w:pPr>
        <w:widowControl/>
        <w:shd w:val="clear" w:color="auto" w:fill="FFFFFF"/>
        <w:spacing w:line="440" w:lineRule="exact"/>
        <w:ind w:firstLine="505"/>
        <w:rPr>
          <w:rFonts w:ascii="仿宋" w:hAnsi="仿宋" w:eastAsia="仿宋" w:cs="宋体"/>
          <w:spacing w:val="7"/>
          <w:kern w:val="0"/>
          <w:sz w:val="24"/>
          <w:szCs w:val="24"/>
        </w:rPr>
      </w:pPr>
      <w:r>
        <w:rPr>
          <w:rFonts w:hint="eastAsia" w:ascii="仿宋" w:hAnsi="仿宋" w:eastAsia="仿宋" w:cs="宋体"/>
          <w:spacing w:val="7"/>
          <w:kern w:val="0"/>
          <w:sz w:val="24"/>
          <w:szCs w:val="24"/>
        </w:rPr>
        <w:t>3.项目演示、样品：无。</w:t>
      </w:r>
    </w:p>
    <w:p w14:paraId="58FD1321">
      <w:pPr>
        <w:widowControl/>
        <w:shd w:val="clear" w:color="auto" w:fill="FFFFFF"/>
        <w:spacing w:line="440" w:lineRule="exact"/>
        <w:ind w:firstLine="505"/>
        <w:rPr>
          <w:rFonts w:ascii="仿宋" w:hAnsi="仿宋" w:eastAsia="仿宋" w:cs="宋体"/>
          <w:spacing w:val="7"/>
          <w:kern w:val="0"/>
          <w:sz w:val="24"/>
          <w:szCs w:val="24"/>
        </w:rPr>
      </w:pPr>
      <w:r>
        <w:rPr>
          <w:rFonts w:hint="eastAsia" w:ascii="仿宋" w:hAnsi="仿宋" w:eastAsia="仿宋" w:cs="宋体"/>
          <w:spacing w:val="7"/>
          <w:kern w:val="0"/>
          <w:sz w:val="24"/>
          <w:szCs w:val="24"/>
        </w:rPr>
        <w:t>4.供应商应依照规定提交各类声明函、承诺函，不再同时提供原件备查或提供有关部门出具的相关证明文件。但成交供应商应做好提交声明函、承诺函、认证、业绩相应原件的核查准备；核查后发现虚假或违背承诺的，依照相关法律法规规定处理。</w:t>
      </w:r>
    </w:p>
    <w:p w14:paraId="37977561">
      <w:pPr>
        <w:widowControl/>
        <w:shd w:val="clear" w:color="auto" w:fill="FFFFFF"/>
        <w:spacing w:line="440" w:lineRule="exact"/>
        <w:ind w:firstLine="505"/>
        <w:rPr>
          <w:rFonts w:ascii="仿宋" w:hAnsi="仿宋" w:eastAsia="仿宋" w:cs="宋体"/>
          <w:spacing w:val="7"/>
          <w:kern w:val="0"/>
          <w:sz w:val="24"/>
          <w:szCs w:val="24"/>
        </w:rPr>
      </w:pPr>
      <w:r>
        <w:rPr>
          <w:rFonts w:hint="eastAsia" w:ascii="仿宋" w:hAnsi="仿宋" w:eastAsia="仿宋" w:cs="宋体"/>
          <w:spacing w:val="7"/>
          <w:kern w:val="0"/>
          <w:sz w:val="24"/>
          <w:szCs w:val="24"/>
        </w:rPr>
        <w:t>5.法定代表人为同一个人的两个及两个以上法人，母公司、全资子公司及其控股公司，都不得在同一采购项目相同标段中同时参加投标，一经发现，将视同围标处理。</w:t>
      </w:r>
    </w:p>
    <w:p w14:paraId="72FC2F1F">
      <w:pPr>
        <w:snapToGrid w:val="0"/>
        <w:spacing w:line="440" w:lineRule="exact"/>
        <w:ind w:firstLine="510" w:firstLineChars="200"/>
        <w:contextualSpacing/>
        <w:rPr>
          <w:rFonts w:ascii="仿宋" w:hAnsi="仿宋" w:eastAsia="仿宋" w:cs="宋体"/>
          <w:b/>
          <w:bCs/>
          <w:spacing w:val="7"/>
          <w:kern w:val="0"/>
          <w:sz w:val="24"/>
          <w:szCs w:val="24"/>
        </w:rPr>
      </w:pPr>
      <w:r>
        <w:rPr>
          <w:rFonts w:hint="eastAsia" w:ascii="仿宋" w:hAnsi="仿宋" w:eastAsia="仿宋" w:cs="宋体"/>
          <w:b/>
          <w:bCs/>
          <w:spacing w:val="7"/>
          <w:kern w:val="0"/>
          <w:sz w:val="24"/>
          <w:szCs w:val="24"/>
        </w:rPr>
        <w:t>【特别提醒】为采购项目提供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由该供应商承担由此带来可能的一切责任和损失。</w:t>
      </w:r>
    </w:p>
    <w:p w14:paraId="0F614A9C">
      <w:pPr>
        <w:widowControl/>
        <w:shd w:val="clear" w:color="auto" w:fill="FFFFFF"/>
        <w:spacing w:line="440" w:lineRule="exact"/>
        <w:ind w:firstLine="497" w:firstLineChars="195"/>
        <w:rPr>
          <w:rFonts w:ascii="仿宋" w:hAnsi="仿宋" w:eastAsia="仿宋" w:cs="宋体"/>
          <w:b/>
          <w:spacing w:val="7"/>
          <w:kern w:val="0"/>
          <w:sz w:val="24"/>
          <w:szCs w:val="24"/>
        </w:rPr>
      </w:pPr>
      <w:r>
        <w:rPr>
          <w:rFonts w:hint="eastAsia" w:ascii="仿宋" w:hAnsi="仿宋" w:eastAsia="仿宋" w:cs="宋体"/>
          <w:b/>
          <w:spacing w:val="7"/>
          <w:kern w:val="0"/>
          <w:sz w:val="24"/>
          <w:szCs w:val="24"/>
        </w:rPr>
        <w:t>八、凡对本次采购提出询问，请按以下方式联系。</w:t>
      </w:r>
    </w:p>
    <w:p w14:paraId="59E73EA7">
      <w:pPr>
        <w:widowControl/>
        <w:shd w:val="clear" w:color="auto" w:fill="FFFFFF"/>
        <w:spacing w:line="440" w:lineRule="exact"/>
        <w:ind w:firstLine="761"/>
        <w:outlineLvl w:val="1"/>
        <w:rPr>
          <w:rFonts w:ascii="仿宋" w:hAnsi="仿宋" w:eastAsia="仿宋" w:cs="宋体"/>
          <w:spacing w:val="7"/>
          <w:kern w:val="0"/>
          <w:sz w:val="24"/>
          <w:szCs w:val="24"/>
        </w:rPr>
      </w:pPr>
      <w:r>
        <w:rPr>
          <w:rFonts w:hint="eastAsia" w:ascii="仿宋" w:hAnsi="仿宋" w:eastAsia="仿宋" w:cs="宋体"/>
          <w:spacing w:val="7"/>
          <w:kern w:val="0"/>
          <w:sz w:val="24"/>
          <w:szCs w:val="24"/>
        </w:rPr>
        <w:t>1.采购人信息</w:t>
      </w:r>
    </w:p>
    <w:p w14:paraId="5D4B4EDE">
      <w:pPr>
        <w:widowControl/>
        <w:shd w:val="clear" w:color="auto" w:fill="FFFFFF"/>
        <w:spacing w:line="440" w:lineRule="exact"/>
        <w:ind w:left="1019"/>
        <w:jc w:val="left"/>
        <w:rPr>
          <w:rFonts w:ascii="仿宋" w:hAnsi="仿宋" w:eastAsia="仿宋" w:cs="宋体"/>
          <w:spacing w:val="7"/>
          <w:kern w:val="0"/>
          <w:sz w:val="24"/>
          <w:szCs w:val="24"/>
        </w:rPr>
      </w:pPr>
      <w:r>
        <w:rPr>
          <w:rFonts w:hint="eastAsia" w:ascii="仿宋" w:hAnsi="仿宋" w:eastAsia="仿宋" w:cs="宋体"/>
          <w:spacing w:val="7"/>
          <w:kern w:val="0"/>
          <w:sz w:val="24"/>
          <w:szCs w:val="24"/>
        </w:rPr>
        <w:t>名  称：南通市养老服务指导中心</w:t>
      </w:r>
    </w:p>
    <w:p w14:paraId="0FD5A5A8">
      <w:pPr>
        <w:widowControl/>
        <w:shd w:val="clear" w:color="auto" w:fill="FFFFFF"/>
        <w:spacing w:line="440" w:lineRule="exact"/>
        <w:ind w:left="1019"/>
        <w:jc w:val="left"/>
        <w:rPr>
          <w:rFonts w:ascii="仿宋" w:hAnsi="仿宋" w:eastAsia="仿宋" w:cs="宋体"/>
          <w:spacing w:val="7"/>
          <w:kern w:val="0"/>
          <w:sz w:val="24"/>
          <w:szCs w:val="24"/>
        </w:rPr>
      </w:pPr>
      <w:r>
        <w:rPr>
          <w:rFonts w:hint="eastAsia" w:ascii="仿宋" w:hAnsi="仿宋" w:eastAsia="仿宋" w:cs="宋体"/>
          <w:spacing w:val="7"/>
          <w:kern w:val="0"/>
          <w:sz w:val="24"/>
          <w:szCs w:val="24"/>
        </w:rPr>
        <w:t>联系人：沈女士     联系方式：</w:t>
      </w:r>
      <w:r>
        <w:rPr>
          <w:rFonts w:hint="eastAsia" w:ascii="仿宋" w:hAnsi="仿宋" w:eastAsia="仿宋" w:cs="宋体"/>
          <w:sz w:val="24"/>
          <w:szCs w:val="24"/>
          <w:shd w:val="clear" w:color="auto" w:fill="FFFFFF"/>
        </w:rPr>
        <w:t>0513-85112280</w:t>
      </w:r>
    </w:p>
    <w:p w14:paraId="0892AE3E">
      <w:pPr>
        <w:spacing w:line="440" w:lineRule="exact"/>
        <w:ind w:firstLine="508" w:firstLineChars="200"/>
        <w:jc w:val="center"/>
        <w:rPr>
          <w:rFonts w:ascii="仿宋" w:hAnsi="仿宋" w:eastAsia="仿宋" w:cs="仿宋"/>
          <w:b/>
          <w:bCs/>
          <w:w w:val="80"/>
          <w:sz w:val="24"/>
          <w:szCs w:val="24"/>
        </w:rPr>
      </w:pPr>
      <w:r>
        <w:rPr>
          <w:rFonts w:hint="eastAsia" w:ascii="仿宋" w:hAnsi="仿宋" w:eastAsia="仿宋" w:cs="宋体"/>
          <w:spacing w:val="7"/>
          <w:kern w:val="0"/>
          <w:sz w:val="24"/>
          <w:szCs w:val="24"/>
        </w:rPr>
        <w:br w:type="page"/>
      </w:r>
      <w:bookmarkEnd w:id="21"/>
      <w:bookmarkEnd w:id="22"/>
    </w:p>
    <w:p w14:paraId="12052E18">
      <w:pPr>
        <w:spacing w:line="440" w:lineRule="exact"/>
        <w:ind w:firstLine="579" w:firstLineChars="200"/>
        <w:jc w:val="center"/>
        <w:rPr>
          <w:rFonts w:ascii="仿宋" w:hAnsi="仿宋" w:eastAsia="仿宋" w:cs="仿宋"/>
          <w:w w:val="80"/>
          <w:sz w:val="36"/>
          <w:szCs w:val="36"/>
        </w:rPr>
      </w:pPr>
      <w:r>
        <w:rPr>
          <w:rFonts w:hint="eastAsia" w:ascii="仿宋" w:hAnsi="仿宋" w:eastAsia="仿宋" w:cs="仿宋"/>
          <w:b/>
          <w:bCs/>
          <w:w w:val="80"/>
          <w:sz w:val="36"/>
          <w:szCs w:val="36"/>
        </w:rPr>
        <w:t xml:space="preserve">第二章  </w:t>
      </w:r>
      <w:bookmarkEnd w:id="10"/>
      <w:bookmarkEnd w:id="11"/>
      <w:bookmarkEnd w:id="12"/>
      <w:bookmarkEnd w:id="13"/>
      <w:bookmarkEnd w:id="14"/>
      <w:bookmarkEnd w:id="15"/>
      <w:bookmarkEnd w:id="16"/>
      <w:bookmarkEnd w:id="17"/>
      <w:bookmarkEnd w:id="18"/>
      <w:bookmarkEnd w:id="19"/>
      <w:r>
        <w:rPr>
          <w:rFonts w:hint="eastAsia" w:ascii="仿宋" w:hAnsi="仿宋" w:eastAsia="仿宋" w:cs="仿宋"/>
          <w:b/>
          <w:bCs/>
          <w:w w:val="80"/>
          <w:sz w:val="36"/>
          <w:szCs w:val="36"/>
        </w:rPr>
        <w:t>磋商供应商须知</w:t>
      </w:r>
      <w:bookmarkEnd w:id="20"/>
    </w:p>
    <w:p w14:paraId="7B8FB838">
      <w:pPr>
        <w:snapToGrid w:val="0"/>
        <w:spacing w:line="440" w:lineRule="exact"/>
        <w:ind w:firstLine="482" w:firstLineChars="200"/>
        <w:outlineLvl w:val="1"/>
        <w:rPr>
          <w:rFonts w:ascii="仿宋" w:hAnsi="仿宋" w:eastAsia="仿宋" w:cs="仿宋"/>
          <w:b/>
          <w:bCs/>
          <w:sz w:val="24"/>
          <w:szCs w:val="24"/>
        </w:rPr>
      </w:pPr>
      <w:bookmarkStart w:id="23" w:name="_Toc94585341"/>
      <w:bookmarkStart w:id="24" w:name="_Toc11500281"/>
      <w:bookmarkStart w:id="25" w:name="_Toc11554640"/>
      <w:bookmarkStart w:id="26" w:name="_Toc12670504"/>
      <w:bookmarkStart w:id="27" w:name="_Toc8895740"/>
      <w:bookmarkStart w:id="28" w:name="_Toc521201598"/>
      <w:bookmarkStart w:id="29" w:name="_Toc521203419"/>
      <w:bookmarkStart w:id="30" w:name="_Toc94544745"/>
      <w:bookmarkStart w:id="31" w:name="_Toc11499585"/>
      <w:bookmarkStart w:id="32" w:name="_Toc94544871"/>
      <w:r>
        <w:rPr>
          <w:rFonts w:hint="eastAsia" w:ascii="仿宋" w:hAnsi="仿宋" w:eastAsia="仿宋" w:cs="仿宋"/>
          <w:b/>
          <w:bCs/>
          <w:sz w:val="24"/>
          <w:szCs w:val="24"/>
        </w:rPr>
        <w:t>一、说明</w:t>
      </w:r>
    </w:p>
    <w:p w14:paraId="73265384">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1、竞争性磋商活动及因本次磋商产生的合同受中国法律制约和保护。</w:t>
      </w:r>
    </w:p>
    <w:p w14:paraId="403E97FC">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2、竞争性磋商文件的解释权属于南通市养老服务指导中心。</w:t>
      </w:r>
    </w:p>
    <w:p w14:paraId="3652DD8C">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3、供应商下载磋商文件后，应仔细检查磋商文件的所有内容。如内容中有页码短缺、资格要求以及任何设置有不合理的条件对供应商实行差别待遇或者歧视待遇的，应在磋商文件发布后的4日内，以书面形式提出询问或疑问，未在规定的时间内提出询问或疑问的，视同理解并接受本磋商文件的所有内容，因此引起的损失由供应商自负，而且供应商不得在磋商结束后针对磋商文件的所有内容提出质疑事项。</w:t>
      </w:r>
      <w:r>
        <w:rPr>
          <w:rFonts w:hint="eastAsia" w:ascii="仿宋" w:hAnsi="仿宋" w:eastAsia="仿宋" w:cs="仿宋"/>
          <w:b/>
          <w:bCs/>
          <w:sz w:val="24"/>
          <w:szCs w:val="24"/>
        </w:rPr>
        <w:t>非书面形式的不作为日后质疑提出的依据。</w:t>
      </w:r>
    </w:p>
    <w:p w14:paraId="51736B99">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4、供应商应认真审阅磋商文件中所有的事项、格式、条款和规范要求等，如果供应商没有按照磋商文件要求提交响应文件，或者响应文件没有对磋商文件做出实质性响应，将被拒绝参与项目的磋商。</w:t>
      </w:r>
    </w:p>
    <w:p w14:paraId="3CF5D502">
      <w:pPr>
        <w:snapToGrid w:val="0"/>
        <w:spacing w:line="440" w:lineRule="exact"/>
        <w:ind w:firstLine="482" w:firstLineChars="200"/>
        <w:outlineLvl w:val="1"/>
        <w:rPr>
          <w:rFonts w:ascii="仿宋" w:hAnsi="仿宋" w:eastAsia="仿宋" w:cs="仿宋"/>
          <w:b/>
          <w:bCs/>
          <w:sz w:val="24"/>
          <w:szCs w:val="24"/>
        </w:rPr>
      </w:pPr>
      <w:r>
        <w:rPr>
          <w:rFonts w:hint="eastAsia" w:ascii="仿宋" w:hAnsi="仿宋" w:eastAsia="仿宋" w:cs="仿宋"/>
          <w:b/>
          <w:bCs/>
          <w:sz w:val="24"/>
          <w:szCs w:val="24"/>
        </w:rPr>
        <w:t>二、磋商文件的澄清、修改、答疑</w:t>
      </w:r>
    </w:p>
    <w:p w14:paraId="6C4E2E39">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1、南通市养老服务指导中心有权对发出的磋商文件进行必要的澄清、修改或补充。</w:t>
      </w:r>
    </w:p>
    <w:p w14:paraId="2F6D6BC0">
      <w:pPr>
        <w:snapToGrid w:val="0"/>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2、磋商文件的澄清、修改、补充等内容均以书面明确的形式发布，并以采购人网站发布的信息为准。</w:t>
      </w:r>
    </w:p>
    <w:p w14:paraId="4CAA2E20">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3、对磋商文件的澄清、修改将构成磋商文件的一部分，对响应磋商的供应商具有约束力。</w:t>
      </w:r>
    </w:p>
    <w:p w14:paraId="0F0642DC">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4、澄清或者修改的内容可能影响到响应文件编制的，采购人将在提交响应文件接收截止之日5日前，发布澄清或者修改公告，不足5日的，当顺延提交响应文件接收截止时间。</w:t>
      </w:r>
    </w:p>
    <w:p w14:paraId="56BE96DE">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5、除非采购人以书面的形式对磋商文件作出澄清、修改及补充，供应商对涉及磋商文件的任何推论、理解和结论所造成的结果，均由供应商自负。</w:t>
      </w:r>
    </w:p>
    <w:p w14:paraId="41BE03AB">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6、采购单位视情组织答疑会。如有产生答疑且对磋商文件内容有修改，将按照本须知有关规定，以补充通知（公告）的方式发出。</w:t>
      </w:r>
    </w:p>
    <w:p w14:paraId="6E2FDBE5">
      <w:pPr>
        <w:snapToGrid w:val="0"/>
        <w:spacing w:line="440" w:lineRule="exact"/>
        <w:ind w:firstLine="482" w:firstLineChars="200"/>
        <w:outlineLvl w:val="1"/>
        <w:rPr>
          <w:rFonts w:ascii="仿宋" w:hAnsi="仿宋" w:eastAsia="仿宋" w:cs="仿宋"/>
          <w:b/>
          <w:bCs/>
          <w:sz w:val="24"/>
          <w:szCs w:val="24"/>
        </w:rPr>
      </w:pPr>
      <w:r>
        <w:rPr>
          <w:rFonts w:hint="eastAsia" w:ascii="仿宋" w:hAnsi="仿宋" w:eastAsia="仿宋" w:cs="仿宋"/>
          <w:b/>
          <w:bCs/>
          <w:sz w:val="24"/>
          <w:szCs w:val="24"/>
        </w:rPr>
        <w:t>三、响应文件的编制及装订</w:t>
      </w:r>
    </w:p>
    <w:p w14:paraId="7BC12159">
      <w:pPr>
        <w:spacing w:line="440" w:lineRule="exact"/>
        <w:ind w:firstLine="487" w:firstLineChars="202"/>
        <w:rPr>
          <w:rFonts w:ascii="仿宋" w:hAnsi="仿宋" w:eastAsia="仿宋" w:cs="仿宋"/>
          <w:b/>
          <w:bCs/>
          <w:sz w:val="24"/>
          <w:szCs w:val="24"/>
        </w:rPr>
      </w:pPr>
      <w:r>
        <w:rPr>
          <w:rFonts w:hint="eastAsia" w:ascii="仿宋" w:hAnsi="仿宋" w:eastAsia="仿宋" w:cs="仿宋"/>
          <w:b/>
          <w:bCs/>
          <w:sz w:val="24"/>
          <w:szCs w:val="24"/>
        </w:rPr>
        <w:t>投标供应商按磋商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14:paraId="41077A73">
      <w:pPr>
        <w:snapToGrid w:val="0"/>
        <w:spacing w:line="440" w:lineRule="exact"/>
        <w:ind w:firstLine="482" w:firstLineChars="200"/>
        <w:outlineLvl w:val="1"/>
        <w:rPr>
          <w:rFonts w:ascii="仿宋" w:hAnsi="仿宋" w:eastAsia="仿宋" w:cs="仿宋"/>
          <w:b/>
          <w:bCs/>
          <w:sz w:val="24"/>
          <w:szCs w:val="24"/>
        </w:rPr>
      </w:pPr>
      <w:r>
        <w:rPr>
          <w:rFonts w:hint="eastAsia" w:ascii="仿宋" w:hAnsi="仿宋" w:eastAsia="仿宋" w:cs="仿宋"/>
          <w:b/>
          <w:bCs/>
          <w:sz w:val="24"/>
          <w:szCs w:val="24"/>
        </w:rPr>
        <w:t>四、响应文件的份数和签署</w:t>
      </w:r>
    </w:p>
    <w:p w14:paraId="056D6B63">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1、响应文件由：</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 1 \* GB3 </w:instrText>
      </w:r>
      <w:r>
        <w:rPr>
          <w:rFonts w:hint="eastAsia" w:ascii="仿宋" w:hAnsi="仿宋" w:eastAsia="仿宋" w:cs="仿宋"/>
          <w:sz w:val="24"/>
          <w:szCs w:val="24"/>
        </w:rPr>
        <w:fldChar w:fldCharType="separate"/>
      </w:r>
      <w:r>
        <w:rPr>
          <w:rFonts w:hint="eastAsia" w:ascii="仿宋" w:hAnsi="仿宋" w:eastAsia="仿宋" w:cs="仿宋"/>
          <w:sz w:val="24"/>
          <w:szCs w:val="24"/>
        </w:rPr>
        <w:t>①</w:t>
      </w:r>
      <w:r>
        <w:rPr>
          <w:rFonts w:hint="eastAsia" w:ascii="仿宋" w:hAnsi="仿宋" w:eastAsia="仿宋" w:cs="仿宋"/>
          <w:sz w:val="24"/>
          <w:szCs w:val="24"/>
        </w:rPr>
        <w:fldChar w:fldCharType="end"/>
      </w:r>
      <w:r>
        <w:rPr>
          <w:rFonts w:hint="eastAsia" w:ascii="仿宋" w:hAnsi="仿宋" w:eastAsia="仿宋" w:cs="仿宋"/>
          <w:sz w:val="24"/>
          <w:szCs w:val="24"/>
        </w:rPr>
        <w:t>资格审查文件、</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 2 \* GB3 </w:instrText>
      </w:r>
      <w:r>
        <w:rPr>
          <w:rFonts w:hint="eastAsia" w:ascii="仿宋" w:hAnsi="仿宋" w:eastAsia="仿宋" w:cs="仿宋"/>
          <w:sz w:val="24"/>
          <w:szCs w:val="24"/>
        </w:rPr>
        <w:fldChar w:fldCharType="separate"/>
      </w:r>
      <w:r>
        <w:rPr>
          <w:rFonts w:hint="eastAsia" w:ascii="仿宋" w:hAnsi="仿宋" w:eastAsia="仿宋" w:cs="仿宋"/>
          <w:sz w:val="24"/>
          <w:szCs w:val="24"/>
        </w:rPr>
        <w:t>②</w:t>
      </w:r>
      <w:r>
        <w:rPr>
          <w:rFonts w:hint="eastAsia" w:ascii="仿宋" w:hAnsi="仿宋" w:eastAsia="仿宋" w:cs="仿宋"/>
          <w:sz w:val="24"/>
          <w:szCs w:val="24"/>
        </w:rPr>
        <w:fldChar w:fldCharType="end"/>
      </w:r>
      <w:r>
        <w:rPr>
          <w:rFonts w:hint="eastAsia" w:ascii="仿宋" w:hAnsi="仿宋" w:eastAsia="仿宋" w:cs="仿宋"/>
          <w:sz w:val="24"/>
          <w:szCs w:val="24"/>
        </w:rPr>
        <w:t>商务技术响应文件、</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 3 \* GB3 </w:instrText>
      </w:r>
      <w:r>
        <w:rPr>
          <w:rFonts w:hint="eastAsia" w:ascii="仿宋" w:hAnsi="仿宋" w:eastAsia="仿宋" w:cs="仿宋"/>
          <w:sz w:val="24"/>
          <w:szCs w:val="24"/>
        </w:rPr>
        <w:fldChar w:fldCharType="separate"/>
      </w:r>
      <w:r>
        <w:rPr>
          <w:rFonts w:hint="eastAsia" w:ascii="仿宋" w:hAnsi="仿宋" w:eastAsia="仿宋" w:cs="仿宋"/>
          <w:sz w:val="24"/>
          <w:szCs w:val="24"/>
        </w:rPr>
        <w:t>③</w:t>
      </w:r>
      <w:r>
        <w:rPr>
          <w:rFonts w:hint="eastAsia" w:ascii="仿宋" w:hAnsi="仿宋" w:eastAsia="仿宋" w:cs="仿宋"/>
          <w:sz w:val="24"/>
          <w:szCs w:val="24"/>
        </w:rPr>
        <w:fldChar w:fldCharType="end"/>
      </w:r>
      <w:r>
        <w:rPr>
          <w:rFonts w:hint="eastAsia" w:ascii="仿宋" w:hAnsi="仿宋" w:eastAsia="仿宋" w:cs="仿宋"/>
          <w:sz w:val="24"/>
          <w:szCs w:val="24"/>
        </w:rPr>
        <w:t>报价响应文件，共3部分组成（以下由文件序号代称）。</w:t>
      </w:r>
    </w:p>
    <w:p w14:paraId="10A2E51B">
      <w:pPr>
        <w:snapToGrid w:val="0"/>
        <w:spacing w:line="44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2、响应文件均为一式三份，其中“正本”壹份和“副本”贰份。</w:t>
      </w:r>
    </w:p>
    <w:p w14:paraId="0C901405">
      <w:pPr>
        <w:snapToGrid w:val="0"/>
        <w:spacing w:line="440" w:lineRule="exact"/>
        <w:ind w:firstLine="470" w:firstLineChars="196"/>
        <w:rPr>
          <w:rFonts w:ascii="仿宋" w:hAnsi="仿宋" w:eastAsia="仿宋" w:cs="仿宋"/>
          <w:sz w:val="24"/>
          <w:szCs w:val="24"/>
        </w:rPr>
      </w:pPr>
      <w:r>
        <w:rPr>
          <w:rFonts w:hint="eastAsia" w:ascii="仿宋" w:hAnsi="仿宋" w:eastAsia="仿宋" w:cs="仿宋"/>
          <w:sz w:val="24"/>
          <w:szCs w:val="24"/>
        </w:rPr>
        <w:t>3、在每份响应文件上要明确标注项目名称、项目编号、对应的响应文件名称、供应商的全称、日期、“正本”、“副本”字样。“正本”和“副本”若有差异，概以“正本”为准。</w:t>
      </w:r>
    </w:p>
    <w:p w14:paraId="65C865E7">
      <w:pPr>
        <w:snapToGrid w:val="0"/>
        <w:spacing w:line="440" w:lineRule="exact"/>
        <w:ind w:firstLine="470" w:firstLineChars="196"/>
        <w:rPr>
          <w:rFonts w:ascii="仿宋" w:hAnsi="仿宋" w:eastAsia="仿宋" w:cs="仿宋"/>
          <w:sz w:val="24"/>
          <w:szCs w:val="24"/>
        </w:rPr>
      </w:pPr>
      <w:r>
        <w:rPr>
          <w:rFonts w:hint="eastAsia" w:ascii="仿宋" w:hAnsi="仿宋" w:eastAsia="仿宋" w:cs="仿宋"/>
          <w:sz w:val="24"/>
          <w:szCs w:val="24"/>
        </w:rPr>
        <w:t>4、供应商可将响应文件正副本统一密封或分别密封，如正本和副本分别密封的，应在封袋上标明正、副本字样。</w:t>
      </w:r>
    </w:p>
    <w:p w14:paraId="2B80BFFD">
      <w:pPr>
        <w:snapToGrid w:val="0"/>
        <w:spacing w:line="440" w:lineRule="exact"/>
        <w:ind w:firstLine="470" w:firstLineChars="196"/>
        <w:rPr>
          <w:rFonts w:ascii="仿宋" w:hAnsi="仿宋" w:eastAsia="仿宋" w:cs="仿宋"/>
          <w:sz w:val="24"/>
          <w:szCs w:val="24"/>
        </w:rPr>
      </w:pPr>
      <w:r>
        <w:rPr>
          <w:rFonts w:hint="eastAsia" w:ascii="仿宋" w:hAnsi="仿宋" w:eastAsia="仿宋" w:cs="仿宋"/>
          <w:sz w:val="24"/>
          <w:szCs w:val="24"/>
        </w:rPr>
        <w:t>5、响应文件中的所有“正本”，其正文内容须按磋商文件要求由投标人法定代表人或被授权人签字（或盖章）并加盖单位公章。“副本”可复印，但须加盖单位公章。</w:t>
      </w:r>
    </w:p>
    <w:p w14:paraId="026650DD">
      <w:pPr>
        <w:snapToGrid w:val="0"/>
        <w:spacing w:line="440" w:lineRule="exact"/>
        <w:ind w:firstLine="472" w:firstLineChars="196"/>
        <w:rPr>
          <w:rFonts w:ascii="仿宋" w:hAnsi="仿宋" w:eastAsia="仿宋" w:cs="仿宋"/>
          <w:b/>
          <w:bCs/>
          <w:sz w:val="24"/>
          <w:szCs w:val="24"/>
        </w:rPr>
      </w:pPr>
      <w:r>
        <w:rPr>
          <w:rFonts w:hint="eastAsia" w:ascii="仿宋" w:hAnsi="仿宋" w:eastAsia="仿宋" w:cs="仿宋"/>
          <w:b/>
          <w:bCs/>
          <w:sz w:val="24"/>
          <w:szCs w:val="24"/>
        </w:rPr>
        <w:t>五、响应文件的密封及标记</w:t>
      </w:r>
    </w:p>
    <w:p w14:paraId="2F53AF39">
      <w:pPr>
        <w:snapToGrid w:val="0"/>
        <w:spacing w:line="44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1、供应商须将本项目响应文件：</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 1 \* GB3 </w:instrText>
      </w:r>
      <w:r>
        <w:rPr>
          <w:rFonts w:hint="eastAsia" w:ascii="仿宋" w:hAnsi="仿宋" w:eastAsia="仿宋" w:cs="仿宋"/>
          <w:sz w:val="24"/>
          <w:szCs w:val="24"/>
        </w:rPr>
        <w:fldChar w:fldCharType="separate"/>
      </w:r>
      <w:r>
        <w:rPr>
          <w:rFonts w:hint="eastAsia" w:ascii="仿宋" w:hAnsi="仿宋" w:eastAsia="仿宋" w:cs="仿宋"/>
          <w:sz w:val="24"/>
          <w:szCs w:val="24"/>
        </w:rPr>
        <w:t>①</w:t>
      </w:r>
      <w:r>
        <w:rPr>
          <w:rFonts w:hint="eastAsia" w:ascii="仿宋" w:hAnsi="仿宋" w:eastAsia="仿宋" w:cs="仿宋"/>
          <w:sz w:val="24"/>
          <w:szCs w:val="24"/>
        </w:rPr>
        <w:fldChar w:fldCharType="end"/>
      </w:r>
      <w:r>
        <w:rPr>
          <w:rFonts w:hint="eastAsia" w:ascii="仿宋" w:hAnsi="仿宋" w:eastAsia="仿宋" w:cs="仿宋"/>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 2 \* GB3 </w:instrText>
      </w:r>
      <w:r>
        <w:rPr>
          <w:rFonts w:hint="eastAsia" w:ascii="仿宋" w:hAnsi="仿宋" w:eastAsia="仿宋" w:cs="仿宋"/>
          <w:sz w:val="24"/>
          <w:szCs w:val="24"/>
        </w:rPr>
        <w:fldChar w:fldCharType="separate"/>
      </w:r>
      <w:r>
        <w:rPr>
          <w:rFonts w:hint="eastAsia" w:ascii="仿宋" w:hAnsi="仿宋" w:eastAsia="仿宋" w:cs="仿宋"/>
          <w:sz w:val="24"/>
          <w:szCs w:val="24"/>
        </w:rPr>
        <w:t>②</w:t>
      </w:r>
      <w:r>
        <w:rPr>
          <w:rFonts w:hint="eastAsia" w:ascii="仿宋" w:hAnsi="仿宋" w:eastAsia="仿宋" w:cs="仿宋"/>
          <w:sz w:val="24"/>
          <w:szCs w:val="24"/>
        </w:rPr>
        <w:fldChar w:fldCharType="end"/>
      </w:r>
      <w:r>
        <w:rPr>
          <w:rFonts w:hint="eastAsia" w:ascii="仿宋" w:hAnsi="仿宋" w:eastAsia="仿宋" w:cs="仿宋"/>
          <w:sz w:val="24"/>
          <w:szCs w:val="24"/>
        </w:rPr>
        <w:t>、③</w:t>
      </w:r>
      <w:r>
        <w:rPr>
          <w:rFonts w:hint="eastAsia" w:ascii="仿宋" w:hAnsi="仿宋" w:eastAsia="仿宋" w:cs="仿宋"/>
          <w:b/>
          <w:bCs/>
          <w:sz w:val="24"/>
          <w:szCs w:val="24"/>
        </w:rPr>
        <w:t>单独密封</w:t>
      </w:r>
      <w:r>
        <w:rPr>
          <w:rFonts w:hint="eastAsia" w:ascii="仿宋" w:hAnsi="仿宋" w:eastAsia="仿宋" w:cs="仿宋"/>
          <w:sz w:val="24"/>
          <w:szCs w:val="24"/>
        </w:rPr>
        <w:t>。</w:t>
      </w:r>
    </w:p>
    <w:p w14:paraId="0954267A">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2、密封后，应在每一密封的响应文件上明确标注磋商项目名称、项目编号、响应文件各自对应的名称、供应商的全称及日期。</w:t>
      </w:r>
    </w:p>
    <w:p w14:paraId="4D87BAF2">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3、密封袋上加盖投标人印章。</w:t>
      </w:r>
    </w:p>
    <w:p w14:paraId="392E09D7">
      <w:pPr>
        <w:snapToGrid w:val="0"/>
        <w:spacing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【特别提醒】响应文件中的</w:t>
      </w: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 1 \* GB3 </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①</w:t>
      </w:r>
      <w:r>
        <w:rPr>
          <w:rFonts w:hint="eastAsia" w:ascii="仿宋" w:hAnsi="仿宋" w:eastAsia="仿宋" w:cs="仿宋"/>
          <w:b/>
          <w:bCs/>
          <w:sz w:val="24"/>
          <w:szCs w:val="24"/>
        </w:rPr>
        <w:fldChar w:fldCharType="end"/>
      </w:r>
      <w:r>
        <w:rPr>
          <w:rFonts w:hint="eastAsia" w:ascii="仿宋" w:hAnsi="仿宋" w:eastAsia="仿宋" w:cs="仿宋"/>
          <w:b/>
          <w:bCs/>
          <w:sz w:val="24"/>
          <w:szCs w:val="24"/>
        </w:rPr>
        <w:t>和</w:t>
      </w: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 2 \* GB3 </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②</w:t>
      </w:r>
      <w:r>
        <w:rPr>
          <w:rFonts w:hint="eastAsia" w:ascii="仿宋" w:hAnsi="仿宋" w:eastAsia="仿宋" w:cs="仿宋"/>
          <w:b/>
          <w:bCs/>
          <w:sz w:val="24"/>
          <w:szCs w:val="24"/>
        </w:rPr>
        <w:fldChar w:fldCharType="end"/>
      </w:r>
      <w:r>
        <w:rPr>
          <w:rFonts w:hint="eastAsia" w:ascii="仿宋" w:hAnsi="仿宋" w:eastAsia="仿宋" w:cs="仿宋"/>
          <w:b/>
          <w:bCs/>
          <w:sz w:val="24"/>
          <w:szCs w:val="24"/>
        </w:rPr>
        <w:t>的“正本”或“副本”中，均不得含有商务报价响应文件中报价表（报价单）内的任何项目价格，否则作无效投标处理。</w:t>
      </w:r>
    </w:p>
    <w:p w14:paraId="287345A8">
      <w:pPr>
        <w:snapToGrid w:val="0"/>
        <w:spacing w:line="440" w:lineRule="exact"/>
        <w:ind w:firstLine="496" w:firstLineChars="206"/>
        <w:outlineLvl w:val="1"/>
        <w:rPr>
          <w:rFonts w:ascii="仿宋" w:hAnsi="仿宋" w:eastAsia="仿宋" w:cs="仿宋"/>
          <w:b/>
          <w:bCs/>
          <w:sz w:val="24"/>
          <w:szCs w:val="24"/>
        </w:rPr>
      </w:pPr>
      <w:r>
        <w:rPr>
          <w:rFonts w:hint="eastAsia" w:ascii="仿宋" w:hAnsi="仿宋" w:eastAsia="仿宋" w:cs="仿宋"/>
          <w:b/>
          <w:bCs/>
          <w:sz w:val="24"/>
          <w:szCs w:val="24"/>
        </w:rPr>
        <w:t>六、投标报价</w:t>
      </w:r>
    </w:p>
    <w:p w14:paraId="14A2339B">
      <w:pPr>
        <w:snapToGrid w:val="0"/>
        <w:spacing w:line="440" w:lineRule="exact"/>
        <w:ind w:firstLine="494" w:firstLineChars="206"/>
        <w:rPr>
          <w:rFonts w:ascii="仿宋" w:hAnsi="仿宋" w:eastAsia="仿宋" w:cs="仿宋"/>
          <w:sz w:val="24"/>
          <w:szCs w:val="24"/>
        </w:rPr>
      </w:pPr>
      <w:r>
        <w:rPr>
          <w:rFonts w:hint="eastAsia" w:ascii="仿宋" w:hAnsi="仿宋" w:eastAsia="仿宋" w:cs="仿宋"/>
          <w:sz w:val="24"/>
          <w:szCs w:val="24"/>
        </w:rPr>
        <w:t>1、本项目不接受任何有选择的报价。</w:t>
      </w:r>
    </w:p>
    <w:p w14:paraId="2D408040">
      <w:pPr>
        <w:snapToGrid w:val="0"/>
        <w:spacing w:line="440" w:lineRule="exact"/>
        <w:ind w:firstLine="494" w:firstLineChars="206"/>
        <w:rPr>
          <w:rFonts w:ascii="仿宋" w:hAnsi="仿宋" w:eastAsia="仿宋" w:cs="仿宋"/>
          <w:sz w:val="24"/>
          <w:szCs w:val="24"/>
        </w:rPr>
      </w:pPr>
      <w:r>
        <w:rPr>
          <w:rFonts w:hint="eastAsia" w:ascii="仿宋" w:hAnsi="仿宋" w:eastAsia="仿宋" w:cs="仿宋"/>
          <w:sz w:val="24"/>
          <w:szCs w:val="24"/>
        </w:rPr>
        <w:t>2、磋商报价均以人民币为报价的币种。</w:t>
      </w:r>
    </w:p>
    <w:p w14:paraId="3F4B6CEB">
      <w:pPr>
        <w:snapToGrid w:val="0"/>
        <w:spacing w:line="440" w:lineRule="exact"/>
        <w:ind w:firstLine="494" w:firstLineChars="206"/>
        <w:rPr>
          <w:rFonts w:ascii="仿宋" w:hAnsi="仿宋" w:eastAsia="仿宋" w:cs="仿宋"/>
          <w:sz w:val="24"/>
          <w:szCs w:val="24"/>
        </w:rPr>
      </w:pPr>
      <w:r>
        <w:rPr>
          <w:rFonts w:hint="eastAsia" w:ascii="仿宋" w:hAnsi="仿宋" w:eastAsia="仿宋" w:cs="仿宋"/>
          <w:sz w:val="24"/>
          <w:szCs w:val="24"/>
        </w:rPr>
        <w:t>3、磋商报价表必须加盖单位公章且必须经法定代表人或被授权人签字或盖章。报价表中的大写金额与小写金额、总价金额与按单价汇总金额，若有差异，将执行财政部公布第87号令《政府采购货物和服务招标投标管理办法》第59条的规定。</w:t>
      </w:r>
    </w:p>
    <w:p w14:paraId="5E994107">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4、投标货物总价报价应包含下列费用：</w:t>
      </w:r>
    </w:p>
    <w:p w14:paraId="604FDC43">
      <w:pPr>
        <w:snapToGrid w:val="0"/>
        <w:spacing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磋商总报价（以人民币计价）应包含：磋商供应商响应本项目服务及完成本项目工作所需的一切费用，包括响应及完成委托服务所需的一切费用，包含但不限于绿化盆栽、养护、人工、包装、运输、现场服务费等为完成合同规定的全部服务所需支付的一切费用。</w:t>
      </w:r>
    </w:p>
    <w:p w14:paraId="64DF1581">
      <w:pPr>
        <w:snapToGrid w:val="0"/>
        <w:spacing w:line="440" w:lineRule="exact"/>
        <w:ind w:firstLine="470" w:firstLineChars="196"/>
        <w:outlineLvl w:val="1"/>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b/>
          <w:bCs/>
          <w:sz w:val="24"/>
          <w:szCs w:val="24"/>
        </w:rPr>
        <w:t>最终报价不得超出本项目公布的最高限价，否则视为无效响应。</w:t>
      </w:r>
      <w:r>
        <w:rPr>
          <w:rFonts w:hint="eastAsia" w:ascii="仿宋" w:hAnsi="仿宋" w:eastAsia="仿宋" w:cs="仿宋"/>
          <w:sz w:val="24"/>
          <w:szCs w:val="24"/>
        </w:rPr>
        <w:t>本项目竞争性磋商的最终总报价作为成交价。同时，供应商的最终成交价在合同实施期间不因市场变化因素而变动。</w:t>
      </w:r>
    </w:p>
    <w:p w14:paraId="48F86A1F">
      <w:pPr>
        <w:snapToGrid w:val="0"/>
        <w:spacing w:line="440" w:lineRule="exact"/>
        <w:ind w:firstLine="470" w:firstLineChars="196"/>
        <w:outlineLvl w:val="1"/>
        <w:rPr>
          <w:rFonts w:ascii="仿宋" w:hAnsi="仿宋" w:eastAsia="仿宋" w:cs="仿宋"/>
          <w:sz w:val="24"/>
          <w:szCs w:val="24"/>
        </w:rPr>
      </w:pPr>
      <w:r>
        <w:rPr>
          <w:rFonts w:hint="eastAsia" w:ascii="仿宋" w:hAnsi="仿宋" w:eastAsia="仿宋" w:cs="仿宋"/>
          <w:sz w:val="24"/>
          <w:szCs w:val="24"/>
        </w:rPr>
        <w:t>6、如因采购人实际需求，供货数量发生变化，成交人须无条件满足采购人需求，确保供货质量并及时供货；结算时按实际供货量进行结算，综合单价不变。</w:t>
      </w:r>
    </w:p>
    <w:p w14:paraId="2533C2AF">
      <w:pPr>
        <w:snapToGrid w:val="0"/>
        <w:spacing w:line="440" w:lineRule="exact"/>
        <w:ind w:firstLine="470" w:firstLineChars="196"/>
        <w:outlineLvl w:val="1"/>
        <w:rPr>
          <w:rFonts w:ascii="仿宋" w:hAnsi="仿宋" w:eastAsia="仿宋" w:cs="仿宋"/>
          <w:sz w:val="24"/>
          <w:szCs w:val="24"/>
        </w:rPr>
      </w:pPr>
      <w:r>
        <w:rPr>
          <w:rFonts w:hint="eastAsia" w:ascii="仿宋" w:hAnsi="仿宋" w:eastAsia="仿宋" w:cs="仿宋"/>
          <w:sz w:val="24"/>
          <w:szCs w:val="24"/>
        </w:rPr>
        <w:t>7、最低的磋商报价是成交的重要条件，但不是成交的唯一条件。</w:t>
      </w:r>
    </w:p>
    <w:p w14:paraId="551DBE45">
      <w:pPr>
        <w:snapToGrid w:val="0"/>
        <w:spacing w:line="440" w:lineRule="exact"/>
        <w:ind w:firstLine="470" w:firstLineChars="196"/>
        <w:outlineLvl w:val="1"/>
        <w:rPr>
          <w:rFonts w:ascii="仿宋" w:hAnsi="仿宋" w:eastAsia="仿宋" w:cs="仿宋"/>
          <w:sz w:val="24"/>
          <w:szCs w:val="24"/>
        </w:rPr>
      </w:pPr>
      <w:r>
        <w:rPr>
          <w:rFonts w:hint="eastAsia" w:ascii="仿宋" w:hAnsi="仿宋" w:eastAsia="仿宋" w:cs="仿宋"/>
          <w:sz w:val="24"/>
          <w:szCs w:val="24"/>
        </w:rPr>
        <w:t>8、投标供应商应详细阅读磋商文件的全部内容，根据采购项目需求，准确制定相关工作方案等，必须对本采购项目全部进行报价，如有漏项，视同对本项目的优惠。不按磋商文件的要求提供响应文件，导致报价无效，按无效标处理。</w:t>
      </w:r>
    </w:p>
    <w:p w14:paraId="41FDD6EF">
      <w:pPr>
        <w:snapToGrid w:val="0"/>
        <w:spacing w:line="440" w:lineRule="exact"/>
        <w:ind w:firstLine="496" w:firstLineChars="206"/>
        <w:outlineLvl w:val="1"/>
        <w:rPr>
          <w:rFonts w:ascii="仿宋" w:hAnsi="仿宋" w:eastAsia="仿宋" w:cs="仿宋"/>
          <w:b/>
          <w:bCs/>
          <w:sz w:val="24"/>
          <w:szCs w:val="24"/>
        </w:rPr>
      </w:pPr>
      <w:r>
        <w:rPr>
          <w:rFonts w:hint="eastAsia" w:ascii="仿宋" w:hAnsi="仿宋" w:eastAsia="仿宋" w:cs="仿宋"/>
          <w:b/>
          <w:bCs/>
          <w:sz w:val="24"/>
          <w:szCs w:val="24"/>
        </w:rPr>
        <w:t>七、联合体参与磋商</w:t>
      </w:r>
    </w:p>
    <w:p w14:paraId="512086A6">
      <w:pPr>
        <w:snapToGrid w:val="0"/>
        <w:spacing w:line="440" w:lineRule="exact"/>
        <w:ind w:firstLine="470" w:firstLineChars="196"/>
        <w:outlineLvl w:val="1"/>
        <w:rPr>
          <w:rFonts w:ascii="仿宋" w:hAnsi="仿宋" w:eastAsia="仿宋" w:cs="仿宋"/>
          <w:sz w:val="24"/>
          <w:szCs w:val="24"/>
        </w:rPr>
      </w:pPr>
      <w:r>
        <w:rPr>
          <w:rFonts w:hint="eastAsia" w:ascii="仿宋" w:hAnsi="仿宋" w:eastAsia="仿宋" w:cs="仿宋"/>
          <w:sz w:val="24"/>
          <w:szCs w:val="24"/>
        </w:rPr>
        <w:t>不接受任何形式的联合体参与本项目的竞争性磋商。</w:t>
      </w:r>
    </w:p>
    <w:p w14:paraId="4DC268FA">
      <w:pPr>
        <w:snapToGrid w:val="0"/>
        <w:spacing w:line="440" w:lineRule="exact"/>
        <w:ind w:firstLine="496" w:firstLineChars="206"/>
        <w:outlineLvl w:val="1"/>
        <w:rPr>
          <w:rFonts w:ascii="仿宋" w:hAnsi="仿宋" w:eastAsia="仿宋" w:cs="仿宋"/>
          <w:b/>
          <w:bCs/>
          <w:sz w:val="24"/>
          <w:szCs w:val="24"/>
        </w:rPr>
      </w:pPr>
      <w:r>
        <w:rPr>
          <w:rFonts w:hint="eastAsia" w:ascii="仿宋" w:hAnsi="仿宋" w:eastAsia="仿宋" w:cs="仿宋"/>
          <w:b/>
          <w:bCs/>
          <w:sz w:val="24"/>
          <w:szCs w:val="24"/>
        </w:rPr>
        <w:t>八、未尽事宜</w:t>
      </w:r>
    </w:p>
    <w:p w14:paraId="7855E715">
      <w:pPr>
        <w:snapToGrid w:val="0"/>
        <w:spacing w:line="440" w:lineRule="exact"/>
        <w:ind w:firstLine="494" w:firstLineChars="206"/>
        <w:rPr>
          <w:rFonts w:ascii="仿宋" w:hAnsi="仿宋" w:eastAsia="仿宋" w:cs="仿宋"/>
          <w:sz w:val="24"/>
          <w:szCs w:val="24"/>
        </w:rPr>
      </w:pPr>
      <w:r>
        <w:rPr>
          <w:rFonts w:hint="eastAsia" w:ascii="仿宋" w:hAnsi="仿宋" w:eastAsia="仿宋" w:cs="仿宋"/>
          <w:sz w:val="24"/>
          <w:szCs w:val="24"/>
        </w:rPr>
        <w:t>按《中华人民共和国政府采购法》、《政府采</w:t>
      </w:r>
      <w:bookmarkStart w:id="33" w:name="_Toc363573855"/>
      <w:r>
        <w:rPr>
          <w:rFonts w:hint="eastAsia" w:ascii="仿宋" w:hAnsi="仿宋" w:eastAsia="仿宋" w:cs="仿宋"/>
          <w:sz w:val="24"/>
          <w:szCs w:val="24"/>
        </w:rPr>
        <w:t>购竞争性磋商采购方式管理暂行办法》及其他有关法律法规的规定执行。</w:t>
      </w:r>
    </w:p>
    <w:p w14:paraId="31BD0B38">
      <w:pPr>
        <w:pStyle w:val="6"/>
        <w:spacing w:line="440" w:lineRule="exact"/>
        <w:rPr>
          <w:rFonts w:ascii="仿宋" w:hAnsi="仿宋" w:eastAsia="仿宋" w:cs="仿宋"/>
          <w:sz w:val="24"/>
          <w:szCs w:val="24"/>
        </w:rPr>
        <w:sectPr>
          <w:headerReference r:id="rId3" w:type="default"/>
          <w:footerReference r:id="rId4" w:type="default"/>
          <w:type w:val="continuous"/>
          <w:pgSz w:w="11906" w:h="16838"/>
          <w:pgMar w:top="1134" w:right="1134" w:bottom="1134" w:left="1225" w:header="851" w:footer="992" w:gutter="0"/>
          <w:pgNumType w:fmt="numberInDash"/>
          <w:cols w:space="720" w:num="1"/>
          <w:docGrid w:linePitch="312" w:charSpace="0"/>
        </w:sectPr>
      </w:pPr>
    </w:p>
    <w:bookmarkEnd w:id="23"/>
    <w:bookmarkEnd w:id="24"/>
    <w:bookmarkEnd w:id="25"/>
    <w:bookmarkEnd w:id="26"/>
    <w:bookmarkEnd w:id="27"/>
    <w:bookmarkEnd w:id="28"/>
    <w:bookmarkEnd w:id="29"/>
    <w:bookmarkEnd w:id="30"/>
    <w:bookmarkEnd w:id="31"/>
    <w:bookmarkEnd w:id="32"/>
    <w:bookmarkEnd w:id="33"/>
    <w:p w14:paraId="1712D573">
      <w:pPr>
        <w:tabs>
          <w:tab w:val="left" w:pos="1050"/>
          <w:tab w:val="right" w:leader="dot" w:pos="9402"/>
        </w:tabs>
        <w:spacing w:before="240" w:beforeLines="100" w:line="440" w:lineRule="exact"/>
        <w:jc w:val="center"/>
        <w:outlineLvl w:val="0"/>
        <w:rPr>
          <w:rFonts w:ascii="仿宋" w:hAnsi="仿宋" w:eastAsia="仿宋" w:cs="仿宋"/>
          <w:b/>
          <w:bCs/>
          <w:w w:val="80"/>
          <w:sz w:val="36"/>
          <w:szCs w:val="36"/>
        </w:rPr>
      </w:pPr>
      <w:r>
        <w:rPr>
          <w:rFonts w:hint="eastAsia" w:ascii="仿宋" w:hAnsi="仿宋" w:eastAsia="仿宋" w:cs="仿宋"/>
          <w:b/>
          <w:bCs/>
          <w:w w:val="80"/>
          <w:sz w:val="36"/>
          <w:szCs w:val="36"/>
        </w:rPr>
        <w:t>第三章  项目需求</w:t>
      </w:r>
    </w:p>
    <w:p w14:paraId="54203D7A">
      <w:pPr>
        <w:spacing w:line="440" w:lineRule="exact"/>
        <w:rPr>
          <w:rFonts w:ascii="仿宋" w:hAnsi="仿宋" w:eastAsia="仿宋" w:cs="仿宋"/>
          <w:sz w:val="24"/>
          <w:szCs w:val="24"/>
        </w:rPr>
      </w:pPr>
    </w:p>
    <w:p w14:paraId="68ABF230">
      <w:pPr>
        <w:pStyle w:val="110"/>
        <w:snapToGrid w:val="0"/>
        <w:spacing w:line="440" w:lineRule="exact"/>
        <w:ind w:firstLineChars="0"/>
        <w:jc w:val="left"/>
        <w:rPr>
          <w:rFonts w:ascii="仿宋" w:hAnsi="仿宋" w:eastAsia="仿宋" w:cs="仿宋"/>
          <w:kern w:val="0"/>
          <w:sz w:val="24"/>
          <w:szCs w:val="24"/>
          <w:lang w:val="zh-CN"/>
        </w:rPr>
      </w:pPr>
      <w:r>
        <w:rPr>
          <w:rFonts w:hint="eastAsia" w:ascii="仿宋" w:hAnsi="仿宋" w:eastAsia="仿宋" w:cs="仿宋"/>
          <w:kern w:val="0"/>
          <w:sz w:val="24"/>
          <w:szCs w:val="24"/>
        </w:rPr>
        <w:t>采购人</w:t>
      </w:r>
      <w:r>
        <w:rPr>
          <w:rFonts w:hint="eastAsia" w:ascii="仿宋" w:hAnsi="仿宋" w:eastAsia="仿宋" w:cs="仿宋"/>
          <w:kern w:val="0"/>
          <w:sz w:val="24"/>
          <w:szCs w:val="24"/>
          <w:lang w:val="zh-CN"/>
        </w:rPr>
        <w:t>对</w:t>
      </w:r>
      <w:r>
        <w:rPr>
          <w:rFonts w:hint="eastAsia" w:ascii="仿宋" w:hAnsi="仿宋" w:eastAsia="仿宋" w:cs="仿宋"/>
          <w:kern w:val="0"/>
          <w:sz w:val="24"/>
          <w:szCs w:val="24"/>
        </w:rPr>
        <w:t>南通市养老服务指导中心绿化养护及</w:t>
      </w:r>
      <w:r>
        <w:rPr>
          <w:rFonts w:hint="eastAsia" w:ascii="仿宋" w:hAnsi="仿宋" w:eastAsia="仿宋" w:cs="仿宋"/>
          <w:kern w:val="0"/>
          <w:sz w:val="24"/>
          <w:szCs w:val="24"/>
          <w:lang w:val="zh-CN"/>
        </w:rPr>
        <w:t>盆景租摆服务项目进行采购招标。投标供应商需自行察看现场，以充分了解招标人采购需要和现场情况。具体内容如下：</w:t>
      </w:r>
    </w:p>
    <w:p w14:paraId="144657F5">
      <w:pPr>
        <w:pStyle w:val="110"/>
        <w:snapToGrid w:val="0"/>
        <w:spacing w:line="440" w:lineRule="exact"/>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rPr>
        <w:t>一、</w:t>
      </w:r>
      <w:r>
        <w:rPr>
          <w:rFonts w:hint="eastAsia" w:ascii="仿宋" w:hAnsi="仿宋" w:eastAsia="仿宋" w:cs="仿宋"/>
          <w:kern w:val="0"/>
          <w:sz w:val="24"/>
          <w:szCs w:val="24"/>
          <w:lang w:val="zh-CN"/>
        </w:rPr>
        <w:t>供应商须按照采购人提出的盆景品种、规格及数量要求，提供盆景租摆服务，必须保证四季常绿，无枯黄枝条与叶片。对出现枯黄枝条和严重落叶的盆景，须在采购人通知后</w:t>
      </w:r>
      <w:r>
        <w:rPr>
          <w:rFonts w:hint="eastAsia" w:ascii="仿宋" w:hAnsi="仿宋" w:eastAsia="仿宋" w:cs="仿宋"/>
          <w:kern w:val="0"/>
          <w:sz w:val="24"/>
          <w:szCs w:val="24"/>
        </w:rPr>
        <w:t>1</w:t>
      </w:r>
      <w:r>
        <w:rPr>
          <w:rFonts w:hint="eastAsia" w:ascii="仿宋" w:hAnsi="仿宋" w:eastAsia="仿宋" w:cs="仿宋"/>
          <w:kern w:val="0"/>
          <w:sz w:val="24"/>
          <w:szCs w:val="24"/>
          <w:lang w:val="zh-CN"/>
        </w:rPr>
        <w:t>个工作日内及时更换。供应商每周需安排专人到现场进行管理、养护，并做好相关台账登记工作。</w:t>
      </w:r>
    </w:p>
    <w:p w14:paraId="72D6B1A1">
      <w:pPr>
        <w:pStyle w:val="110"/>
        <w:snapToGrid w:val="0"/>
        <w:spacing w:line="440" w:lineRule="exact"/>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采购人在招标清单以外要求供应商临时增加的盆景摆放服务，供应商须及时响应，且不再增加费用。</w:t>
      </w:r>
    </w:p>
    <w:p w14:paraId="31F7A60C">
      <w:pPr>
        <w:pStyle w:val="110"/>
        <w:snapToGrid w:val="0"/>
        <w:spacing w:line="440" w:lineRule="exact"/>
        <w:ind w:firstLine="482" w:firstLineChars="200"/>
        <w:rPr>
          <w:rFonts w:ascii="仿宋" w:hAnsi="仿宋" w:eastAsia="仿宋" w:cs="仿宋"/>
          <w:b/>
          <w:kern w:val="0"/>
          <w:sz w:val="24"/>
          <w:szCs w:val="24"/>
        </w:rPr>
      </w:pPr>
      <w:r>
        <w:rPr>
          <w:rFonts w:hint="eastAsia" w:ascii="仿宋" w:hAnsi="仿宋" w:eastAsia="仿宋" w:cs="仿宋"/>
          <w:b/>
          <w:kern w:val="0"/>
          <w:sz w:val="24"/>
          <w:szCs w:val="24"/>
        </w:rPr>
        <w:t>二、采购清单及明细</w:t>
      </w:r>
    </w:p>
    <w:p w14:paraId="1A2592D5">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（一）盆栽租摆</w:t>
      </w:r>
    </w:p>
    <w:p w14:paraId="29ADA861">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1、规格</w:t>
      </w:r>
    </w:p>
    <w:p w14:paraId="1E302660">
      <w:pPr>
        <w:pStyle w:val="110"/>
        <w:snapToGrid w:val="0"/>
        <w:spacing w:line="440" w:lineRule="exact"/>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kern w:val="0"/>
          <w:sz w:val="24"/>
          <w:szCs w:val="24"/>
        </w:rPr>
        <w:t>超大号绿植高度2米以上，大号绿植高度1.2米以上，中号绿植高度0.5米至1.2米间，小号绿植高度0.5米以下，</w:t>
      </w:r>
      <w:r>
        <w:rPr>
          <w:rFonts w:hint="eastAsia" w:ascii="仿宋" w:hAnsi="仿宋" w:eastAsia="仿宋" w:cs="仿宋"/>
          <w:color w:val="000000" w:themeColor="text1"/>
          <w:kern w:val="0"/>
          <w:sz w:val="24"/>
          <w:szCs w:val="24"/>
          <w14:textFill>
            <w14:solidFill>
              <w14:schemeClr w14:val="tx1"/>
            </w14:solidFill>
          </w14:textFill>
        </w:rPr>
        <w:t>所提供的全部绿植必须为瓷盆种植。</w:t>
      </w:r>
    </w:p>
    <w:p w14:paraId="2E714CD1">
      <w:pPr>
        <w:pStyle w:val="110"/>
        <w:snapToGrid w:val="0"/>
        <w:spacing w:line="440" w:lineRule="exact"/>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2、品种</w:t>
      </w:r>
    </w:p>
    <w:p w14:paraId="4CA67D66">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幸福树、平安树、绿宝树、夏威夷、富贵椰子、棕竹、散尾葵、花叶榕、合果芋、螺纹铁、大野绿萝等，多用于大号或超大号盆景。</w:t>
      </w:r>
    </w:p>
    <w:p w14:paraId="58E223AB">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鹅掌柴、螺纹铁、燕叶兰、南洋枋、也门铁、棕竹、万年青、龙血树、八角舍盘、绿宝、橡皮树等，多用于中号或大号盆景。</w:t>
      </w:r>
    </w:p>
    <w:p w14:paraId="6C3B70C6">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虎皮兰、绿萝、吊兰、合果芋、海棠、富贵竹、观音竹、银皇后等，多用于小号或中号盆景。</w:t>
      </w:r>
    </w:p>
    <w:p w14:paraId="0264A7DD">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3、位置与数量</w:t>
      </w:r>
    </w:p>
    <w:p w14:paraId="716C7311">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一楼：大厅正北超大号1盆；大厅东南角超大号1盆、大号1盆；服务台右侧中号1盆；服务台左侧(西窗边)小号4盆；通道(含弯道)大号5盆；社团活动室（1）、培训室（1）、员工食堂、楼梯拐角处大号5盆、中号3盆。</w:t>
      </w:r>
    </w:p>
    <w:p w14:paraId="1E3C8AD7">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二楼：通道(含弯道)大号7盆、中号3盆；社团活动室(2)(3)(4)、培训室（2）、养老实训室、机房等室内外及楼梯拐角处大8盆、中号5盆。主任室大号2盆、中号2盆、小号4盆；主任室中号2盆、小号4盆。</w:t>
      </w:r>
    </w:p>
    <w:p w14:paraId="3E3083FF">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三楼：通道(含弯道)大号4盆、中号6盆；民政局离退休干部党员之家、养老实训室、会议室等室内外及大办公区大号12盆、中号6盆、小号18盆。</w:t>
      </w:r>
    </w:p>
    <w:p w14:paraId="517A82FD">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四楼：电梯口及通道口大号2盆、中号2盆。</w:t>
      </w:r>
    </w:p>
    <w:p w14:paraId="3BA34C26">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合计：超大号2盆，大号46盆，中号30盆，小号30盆，合计108盆。</w:t>
      </w:r>
    </w:p>
    <w:p w14:paraId="6C3D6FA3">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以上方案仅供参考，宜适时适地变动，但成交供应商的实际布置和整体效果必须优于上述方案，否则视为供应商履约不到位，采购人将视情扣除相应服务费。</w:t>
      </w:r>
    </w:p>
    <w:p w14:paraId="6429780C">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（二）绿化养护</w:t>
      </w:r>
    </w:p>
    <w:p w14:paraId="0DAB29A2">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1、绿化养护服务范围及内容</w:t>
      </w:r>
    </w:p>
    <w:p w14:paraId="3921D499">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养护地点及绿化面积：绿地面积共1350㎡。</w:t>
      </w:r>
    </w:p>
    <w:p w14:paraId="6A2CC8C0">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2、养护方式、内容及人员</w:t>
      </w:r>
    </w:p>
    <w:p w14:paraId="7CB83C5E">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（1）养护方式：绿化养护采用成交供应商包工、包料（工具、防寒包扎用草帘草包、肥料、农药等）的方式进行养护。</w:t>
      </w:r>
    </w:p>
    <w:p w14:paraId="0EF2A262">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2）养护内容：草坪修剪、施肥，树木修剪、复壮、病虫害防治与检测，除草等。养护所需农药、肥料等均应附有合格证证明，不合格的不得使用。成交人对所承包材料、农药、肥料的质量负责，对由于其质量问题引起的责任均由成交人承担。</w:t>
      </w:r>
    </w:p>
    <w:p w14:paraId="49F5D884">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（3）保证正常工作日有人员及时响应。如遇任务繁重季节或突发情况，必须增派人手，严格按要求完成修剪养护，对不能完成的，采购人可自行安排人员修剪，费用从成交供应商服务费中扣除。</w:t>
      </w:r>
    </w:p>
    <w:p w14:paraId="3202DE95">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3、养护标准：参照国家园林绿化养护二级标准</w:t>
      </w:r>
    </w:p>
    <w:p w14:paraId="7D025628">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（1）定期除草：成交供应商应根据季节特性定期安排人员清除杂草，做到无杂草或杂草面积在5%以内，并清运出场地，原则上平均每月不少于4次。</w:t>
      </w:r>
    </w:p>
    <w:p w14:paraId="39E9BB56">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（2）定期治虫：主要在植物的生长季节及早控制虫害的发生，做到看不到虫子和被虫子咬食的树叶。</w:t>
      </w:r>
    </w:p>
    <w:p w14:paraId="58BEFBC8">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（3）定期施肥：为更有利于植物的生长使植物看上去更加欣欣向荣，根据季节和植物的生长需要进行定期施肥。</w:t>
      </w:r>
    </w:p>
    <w:p w14:paraId="14A07897">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（4）定期修剪：充分考虑树木与环境的关系，依据树龄及生长势强弱进行修剪，控制植物的生长使其更美观，健壮。采购人有需求时，可要求成交供应商对生长过快、过大树木进行合理修剪。</w:t>
      </w:r>
    </w:p>
    <w:p w14:paraId="1F32753D">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（5）适当的园艺措施：在植物的生长季节可以采取一定的科学措施对植物的生长更有利。</w:t>
      </w:r>
    </w:p>
    <w:p w14:paraId="10F10717">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（6）因日常养护不到位出现的枯死苗木花卉需及时清理更换，费用由成交供应商承担。在重大节日或重大活动前能进行突击养护清理或更换。</w:t>
      </w:r>
    </w:p>
    <w:p w14:paraId="07BDF506">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（三）草花部分</w:t>
      </w:r>
    </w:p>
    <w:p w14:paraId="35AC252B">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为使中心整体有欣欣向荣的面貌结合中心现有绿化状况，对关键部位进行草花的栽种并定期更换，种植以我方选取的部分地方效果图为基础，结合现场实际情况进行栽种，不拘泥于现有方案。</w:t>
      </w:r>
    </w:p>
    <w:p w14:paraId="0488ED5F">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栽种面积：50平方米</w:t>
      </w:r>
    </w:p>
    <w:p w14:paraId="558F35A0">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品种：根据季节，挑选应季花卉，并报甲方同意的品种，栽种时有一定的造型。</w:t>
      </w:r>
    </w:p>
    <w:p w14:paraId="50FC09B9">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栽种数量：50㎡*80棵/㎡=4000棵</w:t>
      </w:r>
    </w:p>
    <w:p w14:paraId="40A85F8D">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更换次数：按季节和活动的需要一年换4-5次。</w:t>
      </w:r>
    </w:p>
    <w:p w14:paraId="67018C71">
      <w:pPr>
        <w:pStyle w:val="110"/>
        <w:snapToGrid w:val="0"/>
        <w:spacing w:line="440" w:lineRule="exact"/>
        <w:ind w:firstLine="482" w:firstLineChars="200"/>
        <w:rPr>
          <w:rFonts w:ascii="仿宋" w:hAnsi="仿宋" w:eastAsia="仿宋" w:cs="仿宋"/>
          <w:b/>
          <w:kern w:val="0"/>
          <w:sz w:val="24"/>
          <w:szCs w:val="24"/>
        </w:rPr>
      </w:pPr>
      <w:r>
        <w:rPr>
          <w:rFonts w:hint="eastAsia" w:ascii="仿宋" w:hAnsi="仿宋" w:eastAsia="仿宋" w:cs="仿宋"/>
          <w:b/>
          <w:kern w:val="0"/>
          <w:sz w:val="24"/>
          <w:szCs w:val="24"/>
        </w:rPr>
        <w:t>三、其他</w:t>
      </w:r>
    </w:p>
    <w:p w14:paraId="1BE7DAAF">
      <w:pPr>
        <w:pStyle w:val="110"/>
        <w:snapToGrid w:val="0"/>
        <w:spacing w:line="440" w:lineRule="exact"/>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1、</w:t>
      </w:r>
      <w:r>
        <w:rPr>
          <w:rFonts w:hint="eastAsia" w:ascii="仿宋" w:hAnsi="仿宋" w:eastAsia="仿宋" w:cs="仿宋"/>
          <w:kern w:val="0"/>
          <w:sz w:val="24"/>
          <w:szCs w:val="24"/>
        </w:rPr>
        <w:t>服务</w:t>
      </w:r>
      <w:r>
        <w:rPr>
          <w:rFonts w:hint="eastAsia" w:ascii="仿宋" w:hAnsi="仿宋" w:eastAsia="仿宋" w:cs="仿宋"/>
          <w:kern w:val="0"/>
          <w:sz w:val="24"/>
          <w:szCs w:val="24"/>
          <w:lang w:val="zh-CN"/>
        </w:rPr>
        <w:t>期内，</w:t>
      </w:r>
      <w:r>
        <w:rPr>
          <w:rFonts w:hint="eastAsia" w:ascii="仿宋" w:hAnsi="仿宋" w:eastAsia="仿宋" w:cs="仿宋"/>
          <w:kern w:val="0"/>
          <w:sz w:val="24"/>
          <w:szCs w:val="24"/>
        </w:rPr>
        <w:t>成交供应商</w:t>
      </w:r>
      <w:r>
        <w:rPr>
          <w:rFonts w:hint="eastAsia" w:ascii="仿宋" w:hAnsi="仿宋" w:eastAsia="仿宋" w:cs="仿宋"/>
          <w:kern w:val="0"/>
          <w:sz w:val="24"/>
          <w:szCs w:val="24"/>
          <w:lang w:val="zh-CN"/>
        </w:rPr>
        <w:t>须</w:t>
      </w:r>
      <w:r>
        <w:rPr>
          <w:rFonts w:hint="eastAsia" w:ascii="仿宋" w:hAnsi="仿宋" w:eastAsia="仿宋" w:cs="仿宋"/>
          <w:kern w:val="0"/>
          <w:sz w:val="24"/>
          <w:szCs w:val="24"/>
        </w:rPr>
        <w:t>固定</w:t>
      </w:r>
      <w:r>
        <w:rPr>
          <w:rFonts w:hint="eastAsia" w:ascii="仿宋" w:hAnsi="仿宋" w:eastAsia="仿宋" w:cs="仿宋"/>
          <w:kern w:val="0"/>
          <w:sz w:val="24"/>
          <w:szCs w:val="24"/>
          <w:lang w:val="zh-CN"/>
        </w:rPr>
        <w:t>1</w:t>
      </w:r>
      <w:r>
        <w:rPr>
          <w:rFonts w:hint="eastAsia" w:ascii="仿宋" w:hAnsi="仿宋" w:eastAsia="仿宋" w:cs="仿宋"/>
          <w:kern w:val="0"/>
          <w:sz w:val="24"/>
          <w:szCs w:val="24"/>
        </w:rPr>
        <w:t>名</w:t>
      </w:r>
      <w:r>
        <w:rPr>
          <w:rFonts w:hint="eastAsia" w:ascii="仿宋" w:hAnsi="仿宋" w:eastAsia="仿宋" w:cs="仿宋"/>
          <w:kern w:val="0"/>
          <w:sz w:val="24"/>
          <w:szCs w:val="24"/>
          <w:lang w:val="zh-CN"/>
        </w:rPr>
        <w:t>人员，</w:t>
      </w:r>
      <w:r>
        <w:rPr>
          <w:rFonts w:hint="eastAsia" w:ascii="仿宋" w:hAnsi="仿宋" w:eastAsia="仿宋" w:cs="仿宋"/>
          <w:kern w:val="0"/>
          <w:sz w:val="24"/>
          <w:szCs w:val="24"/>
        </w:rPr>
        <w:t>及时响应采购人</w:t>
      </w:r>
      <w:r>
        <w:rPr>
          <w:rFonts w:hint="eastAsia" w:ascii="仿宋" w:hAnsi="仿宋" w:eastAsia="仿宋" w:cs="仿宋"/>
          <w:kern w:val="0"/>
          <w:sz w:val="24"/>
          <w:szCs w:val="24"/>
          <w:lang w:val="zh-CN"/>
        </w:rPr>
        <w:t>盆栽绿化</w:t>
      </w:r>
      <w:r>
        <w:rPr>
          <w:rFonts w:hint="eastAsia" w:ascii="仿宋" w:hAnsi="仿宋" w:eastAsia="仿宋" w:cs="仿宋"/>
          <w:kern w:val="0"/>
          <w:sz w:val="24"/>
          <w:szCs w:val="24"/>
        </w:rPr>
        <w:t>养护</w:t>
      </w:r>
      <w:r>
        <w:rPr>
          <w:rFonts w:hint="eastAsia" w:ascii="仿宋" w:hAnsi="仿宋" w:eastAsia="仿宋" w:cs="仿宋"/>
          <w:kern w:val="0"/>
          <w:sz w:val="24"/>
          <w:szCs w:val="24"/>
          <w:lang w:val="zh-CN"/>
        </w:rPr>
        <w:t>服务。</w:t>
      </w:r>
    </w:p>
    <w:p w14:paraId="21F36C59">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lang w:val="zh-CN"/>
        </w:rPr>
        <w:t>2、</w:t>
      </w:r>
      <w:r>
        <w:rPr>
          <w:rFonts w:hint="eastAsia" w:ascii="仿宋" w:hAnsi="仿宋" w:eastAsia="仿宋" w:cs="仿宋"/>
          <w:kern w:val="0"/>
          <w:sz w:val="24"/>
          <w:szCs w:val="24"/>
        </w:rPr>
        <w:t>成交供应商应与服务人员建立劳动关系，并按规定办理社保、人身保险等，服务人员工作过程中的安全责任由成交供应商负责，与采购人无关。</w:t>
      </w:r>
    </w:p>
    <w:p w14:paraId="541695BC">
      <w:pPr>
        <w:pStyle w:val="110"/>
        <w:snapToGrid w:val="0"/>
        <w:spacing w:line="440" w:lineRule="exact"/>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rPr>
        <w:t>3</w:t>
      </w:r>
      <w:r>
        <w:rPr>
          <w:rFonts w:hint="eastAsia" w:ascii="仿宋" w:hAnsi="仿宋" w:eastAsia="仿宋" w:cs="仿宋"/>
          <w:kern w:val="0"/>
          <w:sz w:val="24"/>
          <w:szCs w:val="24"/>
          <w:lang w:val="zh-CN"/>
        </w:rPr>
        <w:t>、</w:t>
      </w:r>
      <w:r>
        <w:rPr>
          <w:rFonts w:hint="eastAsia" w:ascii="仿宋" w:hAnsi="仿宋" w:eastAsia="仿宋" w:cs="仿宋"/>
          <w:kern w:val="0"/>
          <w:sz w:val="24"/>
          <w:szCs w:val="24"/>
        </w:rPr>
        <w:t>成交供应商</w:t>
      </w:r>
      <w:r>
        <w:rPr>
          <w:rFonts w:hint="eastAsia" w:ascii="仿宋" w:hAnsi="仿宋" w:eastAsia="仿宋" w:cs="仿宋"/>
          <w:kern w:val="0"/>
          <w:sz w:val="24"/>
          <w:szCs w:val="24"/>
          <w:lang w:val="zh-CN"/>
        </w:rPr>
        <w:t>应严格教育、培训和管理派驻采购方的盆栽</w:t>
      </w:r>
      <w:r>
        <w:rPr>
          <w:rFonts w:hint="eastAsia" w:ascii="仿宋" w:hAnsi="仿宋" w:eastAsia="仿宋" w:cs="仿宋"/>
          <w:kern w:val="0"/>
          <w:sz w:val="24"/>
          <w:szCs w:val="24"/>
        </w:rPr>
        <w:t>绿化养护</w:t>
      </w:r>
      <w:r>
        <w:rPr>
          <w:rFonts w:hint="eastAsia" w:ascii="仿宋" w:hAnsi="仿宋" w:eastAsia="仿宋" w:cs="仿宋"/>
          <w:kern w:val="0"/>
          <w:sz w:val="24"/>
          <w:szCs w:val="24"/>
          <w:lang w:val="zh-CN"/>
        </w:rPr>
        <w:t>人员，遵守采购人及中标人规章制度，保持良好的</w:t>
      </w:r>
      <w:r>
        <w:rPr>
          <w:rFonts w:hint="eastAsia" w:ascii="仿宋" w:hAnsi="仿宋" w:eastAsia="仿宋" w:cs="仿宋"/>
          <w:kern w:val="0"/>
          <w:sz w:val="24"/>
          <w:szCs w:val="24"/>
        </w:rPr>
        <w:t>办公</w:t>
      </w:r>
      <w:r>
        <w:rPr>
          <w:rFonts w:hint="eastAsia" w:ascii="仿宋" w:hAnsi="仿宋" w:eastAsia="仿宋" w:cs="仿宋"/>
          <w:kern w:val="0"/>
          <w:sz w:val="24"/>
          <w:szCs w:val="24"/>
          <w:lang w:val="zh-CN"/>
        </w:rPr>
        <w:t>环境和秩序，爱护财物，注意言行举止以维护采购人良好的形象。</w:t>
      </w:r>
    </w:p>
    <w:p w14:paraId="64948680">
      <w:pPr>
        <w:pStyle w:val="110"/>
        <w:snapToGrid w:val="0"/>
        <w:spacing w:line="440" w:lineRule="exact"/>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rPr>
        <w:t>4</w:t>
      </w:r>
      <w:r>
        <w:rPr>
          <w:rFonts w:hint="eastAsia" w:ascii="仿宋" w:hAnsi="仿宋" w:eastAsia="仿宋" w:cs="仿宋"/>
          <w:kern w:val="0"/>
          <w:sz w:val="24"/>
          <w:szCs w:val="24"/>
          <w:lang w:val="zh-CN"/>
        </w:rPr>
        <w:t>、未得采购人书面同意，</w:t>
      </w:r>
      <w:r>
        <w:rPr>
          <w:rFonts w:hint="eastAsia" w:ascii="仿宋" w:hAnsi="仿宋" w:eastAsia="仿宋" w:cs="仿宋"/>
          <w:kern w:val="0"/>
          <w:sz w:val="24"/>
          <w:szCs w:val="24"/>
        </w:rPr>
        <w:t>成交供应商</w:t>
      </w:r>
      <w:r>
        <w:rPr>
          <w:rFonts w:hint="eastAsia" w:ascii="仿宋" w:hAnsi="仿宋" w:eastAsia="仿宋" w:cs="仿宋"/>
          <w:kern w:val="0"/>
          <w:sz w:val="24"/>
          <w:szCs w:val="24"/>
          <w:lang w:val="zh-CN"/>
        </w:rPr>
        <w:t>不得将合同全部或任何部分转包与第三方，否则采购人有权立即解除合同。</w:t>
      </w:r>
    </w:p>
    <w:p w14:paraId="3EA35540">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5</w:t>
      </w:r>
      <w:r>
        <w:rPr>
          <w:rFonts w:hint="eastAsia" w:ascii="仿宋" w:hAnsi="仿宋" w:eastAsia="仿宋" w:cs="仿宋"/>
          <w:kern w:val="0"/>
          <w:sz w:val="24"/>
          <w:szCs w:val="24"/>
          <w:lang w:val="zh-CN"/>
        </w:rPr>
        <w:t>、</w:t>
      </w:r>
      <w:r>
        <w:rPr>
          <w:rFonts w:hint="eastAsia" w:ascii="仿宋" w:hAnsi="仿宋" w:eastAsia="仿宋" w:cs="仿宋"/>
          <w:kern w:val="0"/>
          <w:sz w:val="24"/>
          <w:szCs w:val="24"/>
        </w:rPr>
        <w:t>盆栽养护过程中的清洁卫生工作由成交供应商负责，绿化养护过程中修剪下来的树枝、树叶等，由成交供应商负责清理运走</w:t>
      </w:r>
      <w:r>
        <w:rPr>
          <w:rFonts w:hint="eastAsia" w:ascii="仿宋" w:hAnsi="仿宋" w:eastAsia="仿宋" w:cs="仿宋"/>
          <w:kern w:val="0"/>
          <w:sz w:val="24"/>
          <w:szCs w:val="24"/>
          <w:lang w:val="zh-CN"/>
        </w:rPr>
        <w:t>。</w:t>
      </w:r>
    </w:p>
    <w:p w14:paraId="3D3C64A7">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6、成交供应商必须指派有经验、有责任心的工作人员负责养护、盆栽管理工作；依照合同约定的标准保质保量完成采购方所指定范围的绿化养护、盆栽管理服务工作。</w:t>
      </w:r>
    </w:p>
    <w:p w14:paraId="46816B2D">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7、成交供应商须注意防火及安全工作，避免安全事故。</w:t>
      </w:r>
    </w:p>
    <w:p w14:paraId="558779EC">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8、成交供应商在服务过程中应节约用水用电。</w:t>
      </w:r>
    </w:p>
    <w:p w14:paraId="67415297">
      <w:pPr>
        <w:pStyle w:val="110"/>
        <w:snapToGrid w:val="0"/>
        <w:spacing w:line="440" w:lineRule="exact"/>
        <w:ind w:firstLine="482" w:firstLineChars="200"/>
        <w:rPr>
          <w:rFonts w:ascii="仿宋" w:hAnsi="仿宋" w:eastAsia="仿宋" w:cs="仿宋"/>
          <w:kern w:val="0"/>
          <w:sz w:val="24"/>
          <w:szCs w:val="24"/>
        </w:rPr>
      </w:pPr>
      <w:r>
        <w:rPr>
          <w:rFonts w:hint="eastAsia" w:ascii="仿宋" w:hAnsi="仿宋" w:eastAsia="仿宋" w:cs="仿宋"/>
          <w:b/>
          <w:kern w:val="0"/>
          <w:sz w:val="24"/>
          <w:szCs w:val="24"/>
        </w:rPr>
        <w:t>四、服务期限</w:t>
      </w:r>
      <w:r>
        <w:rPr>
          <w:rFonts w:hint="eastAsia" w:ascii="仿宋" w:hAnsi="仿宋" w:eastAsia="仿宋" w:cs="仿宋"/>
          <w:kern w:val="0"/>
          <w:sz w:val="24"/>
          <w:szCs w:val="24"/>
        </w:rPr>
        <w:t>：2026年1月1日～2026年 12月31日。如成交供应商在合同期内服务质量高，经采购单位考核合格，在价格等所有条款不发生变化的情况下，可以采取1+N年［N≤2］方式续签合同，续签合同一年一签，续签合同最多不超过两次。</w:t>
      </w:r>
    </w:p>
    <w:p w14:paraId="70E9FD76">
      <w:pPr>
        <w:pStyle w:val="110"/>
        <w:snapToGrid w:val="0"/>
        <w:spacing w:line="440" w:lineRule="exact"/>
        <w:ind w:firstLine="482" w:firstLineChars="200"/>
        <w:rPr>
          <w:rFonts w:ascii="仿宋" w:hAnsi="仿宋" w:eastAsia="仿宋" w:cs="仿宋"/>
          <w:b/>
          <w:kern w:val="0"/>
          <w:sz w:val="24"/>
          <w:szCs w:val="24"/>
          <w:lang w:val="zh-CN"/>
        </w:rPr>
      </w:pPr>
      <w:r>
        <w:rPr>
          <w:rFonts w:hint="eastAsia" w:ascii="仿宋" w:hAnsi="仿宋" w:eastAsia="仿宋" w:cs="仿宋"/>
          <w:b/>
          <w:kern w:val="0"/>
          <w:sz w:val="24"/>
          <w:szCs w:val="24"/>
          <w:lang w:val="zh-CN"/>
        </w:rPr>
        <w:t>五、服务费结算</w:t>
      </w:r>
    </w:p>
    <w:p w14:paraId="56B32F31">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sz w:val="24"/>
          <w:szCs w:val="24"/>
        </w:rPr>
        <w:t xml:space="preserve"> </w:t>
      </w:r>
      <w:r>
        <w:rPr>
          <w:rFonts w:hint="eastAsia" w:ascii="仿宋" w:hAnsi="仿宋" w:eastAsia="仿宋" w:cs="仿宋"/>
          <w:kern w:val="0"/>
          <w:sz w:val="24"/>
          <w:szCs w:val="24"/>
        </w:rPr>
        <w:t xml:space="preserve">双方签订合同，服务履行6个月后，支付合同价50%；服务期满经采购人考核支付剩余50%款项。  </w:t>
      </w:r>
    </w:p>
    <w:p w14:paraId="618A636A">
      <w:pPr>
        <w:pStyle w:val="110"/>
        <w:snapToGrid w:val="0"/>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2.每次付款时凭成交人有效完税发票办理相关付款事项。</w:t>
      </w:r>
    </w:p>
    <w:p w14:paraId="032E40D7">
      <w:pPr>
        <w:pStyle w:val="110"/>
        <w:snapToGrid w:val="0"/>
        <w:spacing w:line="440" w:lineRule="exact"/>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rPr>
        <w:t>3.最终的结算方式，以双方就本项目签订的采购合同为准。</w:t>
      </w:r>
    </w:p>
    <w:p w14:paraId="59AF5DD4">
      <w:pPr>
        <w:pStyle w:val="126"/>
        <w:spacing w:before="0" w:beforeAutospacing="0" w:after="0" w:afterAutospacing="0" w:line="440" w:lineRule="exact"/>
        <w:ind w:firstLine="482" w:firstLineChars="200"/>
        <w:rPr>
          <w:rFonts w:ascii="仿宋" w:hAnsi="仿宋" w:eastAsia="仿宋" w:cs="仿宋"/>
          <w:b/>
          <w:kern w:val="2"/>
          <w:szCs w:val="24"/>
        </w:rPr>
      </w:pPr>
      <w:r>
        <w:rPr>
          <w:rFonts w:hint="eastAsia" w:ascii="仿宋" w:hAnsi="仿宋" w:eastAsia="仿宋" w:cs="仿宋"/>
          <w:b/>
          <w:kern w:val="2"/>
          <w:szCs w:val="24"/>
        </w:rPr>
        <w:t>六、项目涉及到的现场勘察</w:t>
      </w:r>
    </w:p>
    <w:p w14:paraId="4E2E640D">
      <w:pPr>
        <w:pStyle w:val="126"/>
        <w:spacing w:before="0" w:beforeAutospacing="0" w:after="0" w:afterAutospacing="0" w:line="440" w:lineRule="exact"/>
        <w:ind w:firstLine="480" w:firstLineChars="200"/>
        <w:rPr>
          <w:rFonts w:ascii="仿宋" w:hAnsi="仿宋" w:eastAsia="仿宋" w:cs="仿宋"/>
          <w:bCs/>
          <w:kern w:val="2"/>
          <w:szCs w:val="24"/>
        </w:rPr>
      </w:pPr>
      <w:r>
        <w:rPr>
          <w:rFonts w:hint="eastAsia" w:ascii="仿宋" w:hAnsi="仿宋" w:eastAsia="仿宋" w:cs="仿宋"/>
          <w:bCs/>
          <w:kern w:val="2"/>
          <w:szCs w:val="24"/>
        </w:rPr>
        <w:t>1、磋商文件所提供的项目相关数据仅供参考，根据自身需要，供应商可在磋商响应文件递交截止日前自行对有关现场和周围环境进行勘察，以获取编制磋商响应文件所需的信息。勘察现场如有费用产生，由供应商自行承担。</w:t>
      </w:r>
    </w:p>
    <w:p w14:paraId="37A3F00E">
      <w:pPr>
        <w:pStyle w:val="126"/>
        <w:spacing w:before="0" w:beforeAutospacing="0" w:after="0" w:afterAutospacing="0" w:line="440" w:lineRule="exact"/>
        <w:ind w:firstLine="480" w:firstLineChars="200"/>
        <w:rPr>
          <w:rFonts w:ascii="仿宋" w:hAnsi="仿宋" w:eastAsia="仿宋" w:cs="仿宋"/>
          <w:bCs/>
          <w:kern w:val="2"/>
          <w:szCs w:val="24"/>
        </w:rPr>
      </w:pPr>
      <w:r>
        <w:rPr>
          <w:rFonts w:hint="eastAsia" w:ascii="仿宋" w:hAnsi="仿宋" w:eastAsia="仿宋" w:cs="仿宋"/>
          <w:bCs/>
          <w:kern w:val="2"/>
          <w:szCs w:val="24"/>
        </w:rPr>
        <w:t>2、采购人向供应商提供有关现场的资料和数据，是采购人现有的并认为能使供应商可利用的资料。采购人对供应商由此而做出的推论、理解和结论概不负责。</w:t>
      </w:r>
    </w:p>
    <w:p w14:paraId="0CD1AEB4">
      <w:pPr>
        <w:pStyle w:val="126"/>
        <w:spacing w:before="0" w:beforeAutospacing="0" w:after="0" w:afterAutospacing="0" w:line="440" w:lineRule="exact"/>
        <w:ind w:firstLine="480" w:firstLineChars="200"/>
        <w:rPr>
          <w:rFonts w:ascii="仿宋" w:hAnsi="仿宋" w:eastAsia="仿宋" w:cs="仿宋"/>
          <w:bCs/>
          <w:kern w:val="2"/>
          <w:szCs w:val="24"/>
        </w:rPr>
      </w:pPr>
      <w:r>
        <w:rPr>
          <w:rFonts w:hint="eastAsia" w:ascii="仿宋" w:hAnsi="仿宋" w:eastAsia="仿宋" w:cs="仿宋"/>
          <w:bCs/>
          <w:kern w:val="2"/>
          <w:szCs w:val="24"/>
        </w:rPr>
        <w:t>3、潜在供应商如有意响应磋商竞谈可勘察现场。但不得因此使采购人承担有关的责任和蒙受损失。供应商须承担勘察现场而带来的一切责任及风险。</w:t>
      </w:r>
    </w:p>
    <w:p w14:paraId="6BBB1704">
      <w:pPr>
        <w:pStyle w:val="126"/>
        <w:spacing w:before="0" w:beforeAutospacing="0" w:after="0" w:afterAutospacing="0" w:line="440" w:lineRule="exact"/>
        <w:ind w:firstLine="480" w:firstLineChars="200"/>
        <w:rPr>
          <w:rFonts w:ascii="仿宋" w:hAnsi="仿宋" w:eastAsia="仿宋" w:cs="仿宋"/>
          <w:bCs/>
          <w:kern w:val="2"/>
          <w:szCs w:val="24"/>
        </w:rPr>
      </w:pPr>
      <w:r>
        <w:rPr>
          <w:rFonts w:hint="eastAsia" w:ascii="仿宋" w:hAnsi="仿宋" w:eastAsia="仿宋" w:cs="仿宋"/>
          <w:bCs/>
          <w:kern w:val="2"/>
          <w:szCs w:val="24"/>
        </w:rPr>
        <w:t>4、供应商应在现场勘察时，熟悉项目现场等情况，以获得一切可能影响磋商竞谈响应内容的直接资料。供应商成交后，不得以不完全了解现场情况为理由而向采购人提出任何索赔的要求，对此采购人不承担任何责任，并且将不作任何答复。</w:t>
      </w:r>
    </w:p>
    <w:p w14:paraId="6387C34E">
      <w:pPr>
        <w:pStyle w:val="126"/>
        <w:spacing w:before="0" w:beforeAutospacing="0" w:after="0" w:afterAutospacing="0" w:line="440" w:lineRule="exact"/>
        <w:ind w:firstLine="480" w:firstLineChars="200"/>
        <w:rPr>
          <w:rFonts w:ascii="仿宋" w:hAnsi="仿宋" w:eastAsia="仿宋" w:cs="仿宋"/>
          <w:bCs/>
          <w:kern w:val="2"/>
          <w:szCs w:val="24"/>
        </w:rPr>
      </w:pPr>
      <w:r>
        <w:rPr>
          <w:rFonts w:ascii="仿宋" w:hAnsi="仿宋" w:eastAsia="仿宋" w:cs="仿宋"/>
          <w:bCs/>
          <w:kern w:val="2"/>
          <w:szCs w:val="24"/>
        </w:rPr>
        <w:t>现场踏勘时间 202</w:t>
      </w:r>
      <w:r>
        <w:rPr>
          <w:rFonts w:hint="eastAsia" w:ascii="仿宋" w:hAnsi="仿宋" w:eastAsia="仿宋" w:cs="仿宋"/>
          <w:bCs/>
          <w:kern w:val="2"/>
          <w:szCs w:val="24"/>
        </w:rPr>
        <w:t>5</w:t>
      </w:r>
      <w:r>
        <w:rPr>
          <w:rFonts w:ascii="仿宋" w:hAnsi="仿宋" w:eastAsia="仿宋" w:cs="仿宋"/>
          <w:bCs/>
          <w:kern w:val="2"/>
          <w:szCs w:val="24"/>
        </w:rPr>
        <w:t>年</w:t>
      </w:r>
      <w:r>
        <w:rPr>
          <w:rFonts w:hint="eastAsia" w:ascii="仿宋" w:hAnsi="仿宋" w:eastAsia="仿宋" w:cs="仿宋"/>
          <w:bCs/>
          <w:kern w:val="2"/>
          <w:szCs w:val="24"/>
        </w:rPr>
        <w:t>11</w:t>
      </w:r>
      <w:r>
        <w:rPr>
          <w:rFonts w:ascii="仿宋" w:hAnsi="仿宋" w:eastAsia="仿宋" w:cs="仿宋"/>
          <w:bCs/>
          <w:kern w:val="2"/>
          <w:szCs w:val="24"/>
        </w:rPr>
        <w:t>月</w:t>
      </w:r>
      <w:r>
        <w:rPr>
          <w:rFonts w:hint="eastAsia" w:ascii="仿宋" w:hAnsi="仿宋" w:eastAsia="仿宋" w:cs="仿宋"/>
          <w:bCs/>
          <w:kern w:val="2"/>
          <w:szCs w:val="24"/>
        </w:rPr>
        <w:t>11</w:t>
      </w:r>
      <w:r>
        <w:rPr>
          <w:rFonts w:ascii="仿宋" w:hAnsi="仿宋" w:eastAsia="仿宋" w:cs="仿宋"/>
          <w:bCs/>
          <w:kern w:val="2"/>
          <w:szCs w:val="24"/>
        </w:rPr>
        <w:t>日-</w:t>
      </w:r>
      <w:r>
        <w:rPr>
          <w:rFonts w:hint="eastAsia" w:ascii="仿宋" w:hAnsi="仿宋" w:eastAsia="仿宋" w:cs="仿宋"/>
          <w:bCs/>
          <w:kern w:val="2"/>
          <w:szCs w:val="24"/>
        </w:rPr>
        <w:t>24</w:t>
      </w:r>
      <w:r>
        <w:rPr>
          <w:rFonts w:ascii="仿宋" w:hAnsi="仿宋" w:eastAsia="仿宋" w:cs="仿宋"/>
          <w:bCs/>
          <w:kern w:val="2"/>
          <w:szCs w:val="24"/>
        </w:rPr>
        <w:t>日</w:t>
      </w:r>
      <w:r>
        <w:rPr>
          <w:rFonts w:hint="eastAsia" w:ascii="仿宋" w:hAnsi="仿宋" w:eastAsia="仿宋" w:cs="仿宋"/>
          <w:bCs/>
          <w:kern w:val="2"/>
          <w:szCs w:val="24"/>
        </w:rPr>
        <w:t>（工作日</w:t>
      </w:r>
      <w:r>
        <w:rPr>
          <w:rFonts w:ascii="仿宋" w:hAnsi="仿宋" w:eastAsia="仿宋" w:cs="仿宋"/>
          <w:bCs/>
          <w:kern w:val="2"/>
          <w:szCs w:val="24"/>
        </w:rPr>
        <w:t>上午：9：30-11：00，下午14：00-16：30），联系人:戴女士  0513-85591100。</w:t>
      </w:r>
    </w:p>
    <w:p w14:paraId="1EE52010">
      <w:pPr>
        <w:pStyle w:val="126"/>
        <w:spacing w:before="0" w:beforeAutospacing="0" w:after="0" w:afterAutospacing="0" w:line="440" w:lineRule="exact"/>
        <w:ind w:firstLine="480" w:firstLineChars="200"/>
        <w:rPr>
          <w:rFonts w:ascii="仿宋" w:hAnsi="仿宋" w:eastAsia="仿宋" w:cs="仿宋"/>
          <w:bCs/>
          <w:color w:val="0000FF"/>
          <w:kern w:val="2"/>
          <w:szCs w:val="24"/>
        </w:rPr>
      </w:pPr>
    </w:p>
    <w:p w14:paraId="48FA5DE1">
      <w:pPr>
        <w:spacing w:line="440" w:lineRule="exact"/>
        <w:rPr>
          <w:rFonts w:ascii="仿宋" w:hAnsi="仿宋" w:eastAsia="仿宋" w:cs="仿宋"/>
          <w:color w:val="0000FF"/>
          <w:sz w:val="24"/>
          <w:szCs w:val="24"/>
        </w:rPr>
      </w:pPr>
    </w:p>
    <w:p w14:paraId="1E1C70C9">
      <w:pPr>
        <w:pStyle w:val="6"/>
        <w:spacing w:line="440" w:lineRule="exact"/>
        <w:rPr>
          <w:rFonts w:ascii="仿宋" w:hAnsi="仿宋" w:eastAsia="仿宋" w:cs="仿宋"/>
          <w:sz w:val="24"/>
          <w:szCs w:val="24"/>
        </w:rPr>
      </w:pPr>
    </w:p>
    <w:p w14:paraId="74602AD7">
      <w:pPr>
        <w:spacing w:line="440" w:lineRule="exact"/>
        <w:rPr>
          <w:rFonts w:ascii="仿宋" w:hAnsi="仿宋" w:eastAsia="仿宋" w:cs="仿宋"/>
          <w:sz w:val="24"/>
          <w:szCs w:val="24"/>
        </w:rPr>
      </w:pPr>
    </w:p>
    <w:p w14:paraId="51E6148B">
      <w:pPr>
        <w:pStyle w:val="6"/>
        <w:spacing w:line="440" w:lineRule="exact"/>
        <w:rPr>
          <w:rFonts w:ascii="仿宋" w:hAnsi="仿宋" w:eastAsia="仿宋" w:cs="仿宋"/>
          <w:sz w:val="24"/>
          <w:szCs w:val="24"/>
        </w:rPr>
      </w:pPr>
    </w:p>
    <w:p w14:paraId="25E3C67C">
      <w:pPr>
        <w:spacing w:line="440" w:lineRule="exact"/>
        <w:rPr>
          <w:rFonts w:ascii="仿宋" w:hAnsi="仿宋" w:eastAsia="仿宋" w:cs="仿宋"/>
          <w:sz w:val="24"/>
          <w:szCs w:val="24"/>
        </w:rPr>
      </w:pPr>
    </w:p>
    <w:p w14:paraId="02BEB1ED">
      <w:pPr>
        <w:tabs>
          <w:tab w:val="left" w:pos="1050"/>
          <w:tab w:val="right" w:leader="dot" w:pos="9402"/>
        </w:tabs>
        <w:spacing w:before="240" w:beforeLines="100" w:line="440" w:lineRule="exact"/>
        <w:outlineLvl w:val="0"/>
        <w:rPr>
          <w:rFonts w:ascii="仿宋" w:hAnsi="仿宋" w:eastAsia="仿宋" w:cs="仿宋"/>
          <w:b/>
          <w:bCs/>
          <w:w w:val="80"/>
          <w:sz w:val="24"/>
          <w:szCs w:val="24"/>
        </w:rPr>
      </w:pPr>
    </w:p>
    <w:p w14:paraId="5D2E8A8B">
      <w:pPr>
        <w:pStyle w:val="5"/>
        <w:rPr>
          <w:rFonts w:ascii="仿宋" w:hAnsi="仿宋" w:eastAsia="仿宋" w:cs="仿宋"/>
          <w:w w:val="80"/>
          <w:sz w:val="24"/>
          <w:szCs w:val="24"/>
        </w:rPr>
      </w:pPr>
    </w:p>
    <w:p w14:paraId="30CF8D05">
      <w:pPr>
        <w:rPr>
          <w:rFonts w:ascii="仿宋" w:hAnsi="仿宋" w:eastAsia="仿宋" w:cs="仿宋"/>
          <w:b/>
          <w:bCs/>
          <w:w w:val="80"/>
          <w:sz w:val="24"/>
          <w:szCs w:val="24"/>
        </w:rPr>
      </w:pPr>
    </w:p>
    <w:p w14:paraId="7FB8BD79">
      <w:pPr>
        <w:pStyle w:val="5"/>
      </w:pPr>
    </w:p>
    <w:p w14:paraId="3235B534">
      <w:pPr>
        <w:tabs>
          <w:tab w:val="left" w:pos="1050"/>
          <w:tab w:val="right" w:leader="dot" w:pos="9402"/>
        </w:tabs>
        <w:spacing w:before="240" w:beforeLines="100" w:line="440" w:lineRule="exact"/>
        <w:jc w:val="center"/>
        <w:outlineLvl w:val="0"/>
        <w:rPr>
          <w:rFonts w:ascii="仿宋" w:hAnsi="仿宋" w:eastAsia="仿宋" w:cs="仿宋"/>
          <w:b/>
          <w:bCs/>
          <w:w w:val="80"/>
          <w:sz w:val="36"/>
          <w:szCs w:val="36"/>
        </w:rPr>
      </w:pPr>
      <w:r>
        <w:rPr>
          <w:rFonts w:hint="eastAsia" w:ascii="仿宋" w:hAnsi="仿宋" w:eastAsia="仿宋" w:cs="仿宋"/>
          <w:b/>
          <w:bCs/>
          <w:w w:val="80"/>
          <w:sz w:val="36"/>
          <w:szCs w:val="36"/>
        </w:rPr>
        <w:t>第四章</w:t>
      </w:r>
      <w:bookmarkStart w:id="34" w:name="_Toc182848996"/>
      <w:r>
        <w:rPr>
          <w:rFonts w:hint="eastAsia" w:ascii="仿宋" w:hAnsi="仿宋" w:eastAsia="仿宋" w:cs="仿宋"/>
          <w:b/>
          <w:bCs/>
          <w:w w:val="80"/>
          <w:sz w:val="36"/>
          <w:szCs w:val="36"/>
        </w:rPr>
        <w:t xml:space="preserve">  评审程序和方法</w:t>
      </w:r>
    </w:p>
    <w:bookmarkEnd w:id="34"/>
    <w:p w14:paraId="1451CEDF">
      <w:pPr>
        <w:tabs>
          <w:tab w:val="left" w:pos="3585"/>
        </w:tabs>
        <w:snapToGrid w:val="0"/>
        <w:spacing w:line="440" w:lineRule="exact"/>
        <w:ind w:firstLine="694" w:firstLineChars="192"/>
        <w:rPr>
          <w:rFonts w:ascii="仿宋" w:hAnsi="仿宋" w:eastAsia="仿宋" w:cs="仿宋"/>
          <w:b/>
          <w:bCs/>
          <w:sz w:val="36"/>
          <w:szCs w:val="36"/>
        </w:rPr>
      </w:pPr>
    </w:p>
    <w:p w14:paraId="7FD92250">
      <w:pPr>
        <w:tabs>
          <w:tab w:val="left" w:pos="3585"/>
        </w:tabs>
        <w:snapToGrid w:val="0"/>
        <w:spacing w:line="440" w:lineRule="exact"/>
        <w:ind w:firstLine="463" w:firstLineChars="192"/>
        <w:rPr>
          <w:rFonts w:ascii="仿宋" w:hAnsi="仿宋" w:eastAsia="仿宋" w:cs="仿宋"/>
          <w:b/>
          <w:sz w:val="24"/>
          <w:szCs w:val="24"/>
        </w:rPr>
      </w:pPr>
      <w:r>
        <w:rPr>
          <w:rFonts w:hint="eastAsia" w:ascii="仿宋" w:hAnsi="仿宋" w:eastAsia="仿宋" w:cs="仿宋"/>
          <w:b/>
          <w:bCs/>
          <w:sz w:val="24"/>
          <w:szCs w:val="24"/>
        </w:rPr>
        <w:t>一、</w:t>
      </w:r>
      <w:r>
        <w:rPr>
          <w:rFonts w:hint="eastAsia" w:ascii="仿宋" w:hAnsi="仿宋" w:eastAsia="仿宋" w:cs="仿宋"/>
          <w:b/>
          <w:sz w:val="24"/>
          <w:szCs w:val="24"/>
        </w:rPr>
        <w:t>招标人组织开标。</w:t>
      </w:r>
    </w:p>
    <w:p w14:paraId="43CE928E">
      <w:pPr>
        <w:tabs>
          <w:tab w:val="left" w:pos="3585"/>
        </w:tabs>
        <w:snapToGrid w:val="0"/>
        <w:spacing w:line="440" w:lineRule="exact"/>
        <w:ind w:firstLine="463" w:firstLineChars="192"/>
        <w:rPr>
          <w:rFonts w:ascii="仿宋" w:hAnsi="仿宋" w:eastAsia="仿宋" w:cs="仿宋"/>
          <w:b/>
          <w:bCs/>
          <w:sz w:val="24"/>
          <w:szCs w:val="24"/>
        </w:rPr>
      </w:pPr>
      <w:r>
        <w:rPr>
          <w:rFonts w:hint="eastAsia" w:ascii="仿宋" w:hAnsi="仿宋" w:eastAsia="仿宋" w:cs="仿宋"/>
          <w:b/>
          <w:bCs/>
          <w:sz w:val="24"/>
          <w:szCs w:val="24"/>
        </w:rPr>
        <w:t>投标人的法定代表人或授权人须持有效身份证参加开标会。</w:t>
      </w:r>
    </w:p>
    <w:p w14:paraId="3ED81BC8">
      <w:pPr>
        <w:tabs>
          <w:tab w:val="left" w:pos="3585"/>
        </w:tabs>
        <w:snapToGrid w:val="0"/>
        <w:spacing w:line="440" w:lineRule="exact"/>
        <w:ind w:firstLine="463" w:firstLineChars="192"/>
        <w:rPr>
          <w:rFonts w:ascii="仿宋" w:hAnsi="仿宋" w:eastAsia="仿宋" w:cs="仿宋"/>
          <w:bCs/>
          <w:sz w:val="24"/>
          <w:szCs w:val="24"/>
        </w:rPr>
      </w:pPr>
      <w:r>
        <w:rPr>
          <w:rFonts w:hint="eastAsia" w:ascii="仿宋" w:hAnsi="仿宋" w:eastAsia="仿宋" w:cs="仿宋"/>
          <w:b/>
          <w:bCs/>
          <w:sz w:val="24"/>
          <w:szCs w:val="24"/>
        </w:rPr>
        <w:t>二、</w:t>
      </w:r>
      <w:r>
        <w:rPr>
          <w:rFonts w:hint="eastAsia" w:ascii="仿宋" w:hAnsi="仿宋" w:eastAsia="仿宋" w:cs="仿宋"/>
          <w:b/>
          <w:sz w:val="24"/>
          <w:szCs w:val="24"/>
        </w:rPr>
        <w:t>评委会</w:t>
      </w:r>
      <w:r>
        <w:rPr>
          <w:rFonts w:hint="eastAsia" w:ascii="仿宋" w:hAnsi="仿宋" w:eastAsia="仿宋" w:cs="仿宋"/>
          <w:sz w:val="24"/>
          <w:szCs w:val="24"/>
        </w:rPr>
        <w:t>由</w:t>
      </w:r>
      <w:r>
        <w:rPr>
          <w:rFonts w:hint="eastAsia" w:ascii="仿宋" w:hAnsi="仿宋" w:eastAsia="仿宋" w:cs="仿宋"/>
          <w:bCs/>
          <w:sz w:val="24"/>
          <w:szCs w:val="24"/>
        </w:rPr>
        <w:t>有关专家和</w:t>
      </w:r>
      <w:r>
        <w:rPr>
          <w:rFonts w:hint="eastAsia" w:ascii="仿宋" w:hAnsi="仿宋" w:eastAsia="仿宋" w:cs="仿宋"/>
          <w:sz w:val="24"/>
          <w:szCs w:val="24"/>
        </w:rPr>
        <w:t>采购人代表</w:t>
      </w:r>
      <w:r>
        <w:rPr>
          <w:rFonts w:hint="eastAsia" w:ascii="仿宋" w:hAnsi="仿宋" w:eastAsia="仿宋" w:cs="仿宋"/>
          <w:bCs/>
          <w:sz w:val="24"/>
          <w:szCs w:val="24"/>
        </w:rPr>
        <w:t>组成</w:t>
      </w:r>
      <w:r>
        <w:rPr>
          <w:rFonts w:hint="eastAsia" w:ascii="仿宋" w:hAnsi="仿宋" w:eastAsia="仿宋" w:cs="仿宋"/>
          <w:sz w:val="24"/>
          <w:szCs w:val="24"/>
        </w:rPr>
        <w:t>，按照</w:t>
      </w:r>
      <w:r>
        <w:rPr>
          <w:rFonts w:hint="eastAsia" w:ascii="仿宋" w:hAnsi="仿宋" w:eastAsia="仿宋" w:cs="仿宋"/>
          <w:bCs/>
          <w:sz w:val="24"/>
          <w:szCs w:val="24"/>
        </w:rPr>
        <w:t>公平、公正、择优的原则进行</w:t>
      </w:r>
      <w:r>
        <w:rPr>
          <w:rFonts w:hint="eastAsia" w:ascii="仿宋" w:hAnsi="仿宋" w:eastAsia="仿宋" w:cs="仿宋"/>
          <w:sz w:val="24"/>
          <w:szCs w:val="24"/>
        </w:rPr>
        <w:t>独立</w:t>
      </w:r>
      <w:r>
        <w:rPr>
          <w:rFonts w:hint="eastAsia" w:ascii="仿宋" w:hAnsi="仿宋" w:eastAsia="仿宋" w:cs="仿宋"/>
          <w:bCs/>
          <w:sz w:val="24"/>
          <w:szCs w:val="24"/>
        </w:rPr>
        <w:t>评标。</w:t>
      </w:r>
    </w:p>
    <w:p w14:paraId="10866BEF">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由采购人代表对供应商资格性、符合性审查，对未通过审查的供应商，应现场告知原因。评委会对合格供应商的投标文件进行评审。</w:t>
      </w:r>
    </w:p>
    <w:p w14:paraId="56E01A7F">
      <w:pPr>
        <w:snapToGrid w:val="0"/>
        <w:spacing w:line="440" w:lineRule="exact"/>
        <w:ind w:firstLine="482" w:firstLineChars="200"/>
        <w:rPr>
          <w:rFonts w:ascii="仿宋" w:hAnsi="仿宋" w:eastAsia="仿宋" w:cs="仿宋"/>
          <w:b/>
          <w:sz w:val="24"/>
          <w:szCs w:val="24"/>
        </w:rPr>
      </w:pPr>
      <w:r>
        <w:rPr>
          <w:rFonts w:hint="eastAsia" w:ascii="仿宋" w:hAnsi="仿宋" w:eastAsia="仿宋" w:cs="仿宋"/>
          <w:b/>
          <w:sz w:val="24"/>
          <w:szCs w:val="24"/>
        </w:rPr>
        <w:t>（一）评审内容</w:t>
      </w:r>
    </w:p>
    <w:p w14:paraId="22781D0D">
      <w:pPr>
        <w:snapToGrid w:val="0"/>
        <w:spacing w:line="440" w:lineRule="exact"/>
        <w:ind w:firstLine="482" w:firstLineChars="200"/>
        <w:rPr>
          <w:rFonts w:ascii="仿宋" w:hAnsi="仿宋" w:eastAsia="仿宋" w:cs="仿宋"/>
          <w:b/>
          <w:sz w:val="24"/>
          <w:szCs w:val="24"/>
        </w:rPr>
      </w:pPr>
      <w:r>
        <w:rPr>
          <w:rFonts w:hint="eastAsia" w:ascii="仿宋" w:hAnsi="仿宋" w:eastAsia="仿宋" w:cs="仿宋"/>
          <w:b/>
          <w:sz w:val="24"/>
          <w:szCs w:val="24"/>
        </w:rPr>
        <w:t>1、投标资格是否符合（由采购人代表审查）;</w:t>
      </w:r>
    </w:p>
    <w:p w14:paraId="59BED7A0">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2、投标文件是否完整；</w:t>
      </w:r>
    </w:p>
    <w:p w14:paraId="5FA190DF">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3、投标文件是否恰当地签署；</w:t>
      </w:r>
    </w:p>
    <w:p w14:paraId="0080E989">
      <w:pPr>
        <w:snapToGrid w:val="0"/>
        <w:spacing w:line="440" w:lineRule="exact"/>
        <w:ind w:firstLine="480" w:firstLineChars="200"/>
        <w:rPr>
          <w:rFonts w:ascii="仿宋" w:hAnsi="仿宋" w:eastAsia="仿宋" w:cs="仿宋"/>
          <w:b/>
          <w:sz w:val="24"/>
          <w:szCs w:val="24"/>
        </w:rPr>
      </w:pPr>
      <w:r>
        <w:rPr>
          <w:rFonts w:hint="eastAsia" w:ascii="仿宋" w:hAnsi="仿宋" w:eastAsia="仿宋" w:cs="仿宋"/>
          <w:sz w:val="24"/>
          <w:szCs w:val="24"/>
        </w:rPr>
        <w:t>4、是否作出实质性响应（</w:t>
      </w:r>
      <w:r>
        <w:rPr>
          <w:rFonts w:hint="eastAsia" w:ascii="仿宋" w:hAnsi="仿宋" w:eastAsia="仿宋" w:cs="仿宋"/>
          <w:b/>
          <w:sz w:val="24"/>
          <w:szCs w:val="24"/>
        </w:rPr>
        <w:t>是否有实质性响应，只根据投标文件本身，而不寻求外部证据）；</w:t>
      </w:r>
    </w:p>
    <w:p w14:paraId="77E722D8">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5、是否有计算错误。</w:t>
      </w:r>
    </w:p>
    <w:p w14:paraId="339D90DC">
      <w:pPr>
        <w:snapToGrid w:val="0"/>
        <w:spacing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（二）相应的规定</w:t>
      </w:r>
    </w:p>
    <w:p w14:paraId="366CA498">
      <w:pPr>
        <w:snapToGrid w:val="0"/>
        <w:spacing w:line="440" w:lineRule="exact"/>
        <w:ind w:firstLine="480" w:firstLineChars="200"/>
        <w:rPr>
          <w:rFonts w:ascii="仿宋" w:hAnsi="仿宋" w:eastAsia="仿宋" w:cs="仿宋"/>
          <w:sz w:val="24"/>
          <w:szCs w:val="24"/>
        </w:rPr>
      </w:pPr>
      <w:r>
        <w:rPr>
          <w:rFonts w:hint="eastAsia" w:ascii="仿宋" w:hAnsi="仿宋" w:eastAsia="仿宋" w:cs="仿宋"/>
          <w:bCs/>
          <w:sz w:val="24"/>
          <w:szCs w:val="24"/>
        </w:rPr>
        <w:t>1、</w:t>
      </w:r>
      <w:r>
        <w:rPr>
          <w:rFonts w:hint="eastAsia" w:ascii="仿宋" w:hAnsi="仿宋" w:eastAsia="仿宋" w:cs="仿宋"/>
          <w:sz w:val="24"/>
          <w:szCs w:val="24"/>
        </w:rPr>
        <w:t>如果单价汇总金额与总价金额有出入，以单价金额计算结果为准；</w:t>
      </w:r>
    </w:p>
    <w:p w14:paraId="712438E4">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2、单价金额小数点有明显错位的，应以总价为准；</w:t>
      </w:r>
    </w:p>
    <w:p w14:paraId="19977076">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3、正本与副本有矛盾的，以正本为准；</w:t>
      </w:r>
    </w:p>
    <w:p w14:paraId="678ABA2D">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4、若文件大写表示的数据与数字表示的有差别，以大写表示的数据为准。</w:t>
      </w:r>
    </w:p>
    <w:p w14:paraId="38ECE777">
      <w:pPr>
        <w:tabs>
          <w:tab w:val="left" w:pos="3585"/>
        </w:tabs>
        <w:snapToGrid w:val="0"/>
        <w:spacing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三、</w:t>
      </w:r>
      <w:r>
        <w:rPr>
          <w:rFonts w:hint="eastAsia" w:ascii="仿宋" w:hAnsi="仿宋" w:eastAsia="仿宋" w:cs="仿宋"/>
          <w:b/>
          <w:sz w:val="24"/>
          <w:szCs w:val="24"/>
        </w:rPr>
        <w:t>陈述、演示、</w:t>
      </w:r>
      <w:r>
        <w:rPr>
          <w:rFonts w:hint="eastAsia" w:ascii="仿宋" w:hAnsi="仿宋" w:eastAsia="仿宋" w:cs="仿宋"/>
          <w:b/>
          <w:bCs/>
          <w:sz w:val="24"/>
          <w:szCs w:val="24"/>
        </w:rPr>
        <w:t>答疑、澄清</w:t>
      </w:r>
    </w:p>
    <w:p w14:paraId="0B597612">
      <w:pPr>
        <w:snapToGrid w:val="0"/>
        <w:spacing w:line="440" w:lineRule="exact"/>
        <w:ind w:firstLine="570"/>
        <w:rPr>
          <w:rFonts w:ascii="仿宋" w:hAnsi="仿宋" w:eastAsia="仿宋" w:cs="仿宋"/>
          <w:b/>
          <w:sz w:val="24"/>
          <w:szCs w:val="24"/>
        </w:rPr>
      </w:pPr>
      <w:r>
        <w:rPr>
          <w:rFonts w:hint="eastAsia" w:ascii="仿宋" w:hAnsi="仿宋" w:eastAsia="仿宋" w:cs="仿宋"/>
          <w:sz w:val="24"/>
          <w:szCs w:val="24"/>
          <w:shd w:val="clear" w:color="auto" w:fill="FFFFFF"/>
        </w:rPr>
        <w:t>如评委会认为有必要，供应商按评委会的要求作陈述、演示、</w:t>
      </w:r>
      <w:r>
        <w:rPr>
          <w:rFonts w:hint="eastAsia" w:ascii="仿宋" w:hAnsi="仿宋" w:eastAsia="仿宋" w:cs="仿宋"/>
          <w:sz w:val="24"/>
          <w:szCs w:val="24"/>
        </w:rPr>
        <w:t>答疑及澄清其投标内容。时间由评委会掌握。</w:t>
      </w:r>
    </w:p>
    <w:p w14:paraId="28AFF287">
      <w:pPr>
        <w:snapToGrid w:val="0"/>
        <w:spacing w:line="440" w:lineRule="exact"/>
        <w:ind w:firstLine="570"/>
        <w:rPr>
          <w:rFonts w:ascii="仿宋" w:hAnsi="仿宋" w:eastAsia="仿宋" w:cs="仿宋"/>
          <w:sz w:val="24"/>
          <w:szCs w:val="24"/>
        </w:rPr>
      </w:pPr>
      <w:r>
        <w:rPr>
          <w:rFonts w:hint="eastAsia" w:ascii="仿宋" w:hAnsi="仿宋" w:eastAsia="仿宋" w:cs="仿宋"/>
          <w:sz w:val="24"/>
          <w:szCs w:val="24"/>
        </w:rPr>
        <w:t>重要澄清答复应是书面的，但不得对投标内容进行实质性修改。</w:t>
      </w:r>
    </w:p>
    <w:p w14:paraId="37BB460F">
      <w:pPr>
        <w:tabs>
          <w:tab w:val="left" w:pos="6555"/>
          <w:tab w:val="right" w:pos="8306"/>
        </w:tabs>
        <w:snapToGrid w:val="0"/>
        <w:spacing w:line="440" w:lineRule="exact"/>
        <w:ind w:firstLine="482" w:firstLineChars="200"/>
        <w:rPr>
          <w:rFonts w:ascii="仿宋" w:hAnsi="仿宋" w:eastAsia="仿宋" w:cs="仿宋"/>
          <w:b/>
          <w:sz w:val="24"/>
          <w:szCs w:val="24"/>
        </w:rPr>
      </w:pPr>
      <w:r>
        <w:rPr>
          <w:rFonts w:hint="eastAsia" w:ascii="仿宋" w:hAnsi="仿宋" w:eastAsia="仿宋" w:cs="仿宋"/>
          <w:b/>
          <w:sz w:val="24"/>
          <w:szCs w:val="24"/>
        </w:rPr>
        <w:t>四、出现下列情形之一的，作无效投标处理;</w:t>
      </w:r>
    </w:p>
    <w:p w14:paraId="3724F97B">
      <w:pPr>
        <w:tabs>
          <w:tab w:val="left" w:pos="6555"/>
        </w:tabs>
        <w:snapToGrid w:val="0"/>
        <w:spacing w:line="440" w:lineRule="exact"/>
        <w:ind w:firstLine="482" w:firstLineChars="200"/>
        <w:rPr>
          <w:rFonts w:ascii="仿宋" w:hAnsi="仿宋" w:eastAsia="仿宋" w:cs="仿宋"/>
          <w:b/>
          <w:sz w:val="24"/>
          <w:szCs w:val="24"/>
        </w:rPr>
      </w:pPr>
      <w:r>
        <w:rPr>
          <w:rFonts w:hint="eastAsia" w:ascii="仿宋" w:hAnsi="仿宋" w:eastAsia="仿宋" w:cs="仿宋"/>
          <w:b/>
          <w:sz w:val="24"/>
          <w:szCs w:val="24"/>
        </w:rPr>
        <w:t>1、未按照招标文件规定要求签署、盖章的；</w:t>
      </w:r>
    </w:p>
    <w:p w14:paraId="7282F13E">
      <w:pPr>
        <w:snapToGrid w:val="0"/>
        <w:spacing w:line="440" w:lineRule="exact"/>
        <w:ind w:firstLine="482" w:firstLineChars="200"/>
        <w:rPr>
          <w:rFonts w:ascii="仿宋" w:hAnsi="仿宋" w:eastAsia="仿宋" w:cs="仿宋"/>
          <w:b/>
          <w:sz w:val="24"/>
          <w:szCs w:val="24"/>
        </w:rPr>
      </w:pPr>
      <w:r>
        <w:rPr>
          <w:rFonts w:hint="eastAsia" w:ascii="仿宋" w:hAnsi="仿宋" w:eastAsia="仿宋" w:cs="仿宋"/>
          <w:b/>
          <w:sz w:val="24"/>
          <w:szCs w:val="24"/>
        </w:rPr>
        <w:t>2、不具备招标文件中规定的资格要求的；</w:t>
      </w:r>
    </w:p>
    <w:p w14:paraId="7779C5B5">
      <w:pPr>
        <w:snapToGrid w:val="0"/>
        <w:spacing w:line="440" w:lineRule="exact"/>
        <w:ind w:firstLine="482" w:firstLineChars="200"/>
        <w:rPr>
          <w:rFonts w:ascii="仿宋" w:hAnsi="仿宋" w:eastAsia="仿宋" w:cs="仿宋"/>
          <w:b/>
          <w:sz w:val="24"/>
          <w:szCs w:val="24"/>
        </w:rPr>
      </w:pPr>
      <w:r>
        <w:rPr>
          <w:rFonts w:hint="eastAsia" w:ascii="仿宋" w:hAnsi="仿宋" w:eastAsia="仿宋" w:cs="仿宋"/>
          <w:b/>
          <w:sz w:val="24"/>
          <w:szCs w:val="24"/>
        </w:rPr>
        <w:t>3、</w:t>
      </w:r>
      <w:r>
        <w:rPr>
          <w:rFonts w:hint="eastAsia" w:ascii="仿宋" w:hAnsi="仿宋" w:eastAsia="仿宋" w:cs="仿宋"/>
          <w:b/>
          <w:kern w:val="0"/>
          <w:sz w:val="24"/>
          <w:szCs w:val="24"/>
        </w:rPr>
        <w:t>报价超过招标文件中规定的预算金额或者最高限价的</w:t>
      </w:r>
      <w:r>
        <w:rPr>
          <w:rFonts w:hint="eastAsia" w:ascii="仿宋" w:hAnsi="仿宋" w:eastAsia="仿宋" w:cs="仿宋"/>
          <w:b/>
          <w:sz w:val="24"/>
          <w:szCs w:val="24"/>
        </w:rPr>
        <w:t>；</w:t>
      </w:r>
    </w:p>
    <w:p w14:paraId="3B6C6B11">
      <w:pPr>
        <w:snapToGrid w:val="0"/>
        <w:spacing w:line="440" w:lineRule="exact"/>
        <w:ind w:firstLine="482" w:firstLineChars="200"/>
        <w:rPr>
          <w:rFonts w:ascii="仿宋" w:hAnsi="仿宋" w:eastAsia="仿宋" w:cs="仿宋"/>
          <w:b/>
          <w:sz w:val="24"/>
          <w:szCs w:val="24"/>
        </w:rPr>
      </w:pPr>
      <w:r>
        <w:rPr>
          <w:rFonts w:hint="eastAsia" w:ascii="仿宋" w:hAnsi="仿宋" w:eastAsia="仿宋" w:cs="仿宋"/>
          <w:b/>
          <w:kern w:val="0"/>
          <w:sz w:val="24"/>
          <w:szCs w:val="24"/>
        </w:rPr>
        <w:t>4、投标文件含有采购人不能接受的附加条件的；</w:t>
      </w:r>
    </w:p>
    <w:p w14:paraId="31871833">
      <w:pPr>
        <w:snapToGrid w:val="0"/>
        <w:spacing w:line="440" w:lineRule="exact"/>
        <w:ind w:firstLine="482" w:firstLineChars="200"/>
        <w:rPr>
          <w:rFonts w:ascii="仿宋" w:hAnsi="仿宋" w:eastAsia="仿宋" w:cs="仿宋"/>
          <w:b/>
          <w:sz w:val="24"/>
          <w:szCs w:val="24"/>
        </w:rPr>
      </w:pPr>
      <w:r>
        <w:rPr>
          <w:rFonts w:hint="eastAsia" w:ascii="仿宋" w:hAnsi="仿宋" w:eastAsia="仿宋" w:cs="仿宋"/>
          <w:b/>
          <w:sz w:val="24"/>
          <w:szCs w:val="24"/>
        </w:rPr>
        <w:t>5、不符合法律、法规和招标文件中规定的其他实质性要求的。</w:t>
      </w:r>
    </w:p>
    <w:p w14:paraId="30609C8A">
      <w:pPr>
        <w:snapToGrid w:val="0"/>
        <w:spacing w:line="440" w:lineRule="exact"/>
        <w:ind w:firstLine="570"/>
        <w:rPr>
          <w:rFonts w:ascii="仿宋" w:hAnsi="仿宋" w:eastAsia="仿宋" w:cs="仿宋"/>
          <w:b/>
          <w:sz w:val="24"/>
          <w:szCs w:val="24"/>
        </w:rPr>
      </w:pPr>
      <w:r>
        <w:rPr>
          <w:rFonts w:hint="eastAsia" w:ascii="仿宋" w:hAnsi="仿宋" w:eastAsia="仿宋" w:cs="仿宋"/>
          <w:b/>
          <w:sz w:val="24"/>
          <w:szCs w:val="24"/>
        </w:rPr>
        <w:t>五、出现下列情形之一的，作废标处理</w:t>
      </w:r>
    </w:p>
    <w:p w14:paraId="3FA84ABD">
      <w:pPr>
        <w:snapToGrid w:val="0"/>
        <w:spacing w:line="440" w:lineRule="exact"/>
        <w:ind w:firstLine="570"/>
        <w:rPr>
          <w:rFonts w:ascii="仿宋" w:hAnsi="仿宋" w:eastAsia="仿宋" w:cs="仿宋"/>
          <w:sz w:val="24"/>
          <w:szCs w:val="24"/>
        </w:rPr>
      </w:pPr>
      <w:r>
        <w:rPr>
          <w:rFonts w:hint="eastAsia" w:ascii="仿宋" w:hAnsi="仿宋" w:eastAsia="仿宋" w:cs="仿宋"/>
          <w:sz w:val="24"/>
          <w:szCs w:val="24"/>
        </w:rPr>
        <w:t>1、符合专业条件的供应商或者对招标文件作实质响应的供应商不足3家的；</w:t>
      </w:r>
    </w:p>
    <w:p w14:paraId="12D8F242">
      <w:pPr>
        <w:snapToGrid w:val="0"/>
        <w:spacing w:line="440" w:lineRule="exact"/>
        <w:ind w:firstLine="555"/>
        <w:rPr>
          <w:rFonts w:ascii="仿宋" w:hAnsi="仿宋" w:eastAsia="仿宋" w:cs="仿宋"/>
          <w:sz w:val="24"/>
          <w:szCs w:val="24"/>
        </w:rPr>
      </w:pPr>
      <w:r>
        <w:rPr>
          <w:rFonts w:hint="eastAsia" w:ascii="仿宋" w:hAnsi="仿宋" w:eastAsia="仿宋" w:cs="仿宋"/>
          <w:sz w:val="24"/>
          <w:szCs w:val="24"/>
        </w:rPr>
        <w:t>2、出现影响采购公正的违法违规行为的；</w:t>
      </w:r>
    </w:p>
    <w:p w14:paraId="4BDD809B">
      <w:pPr>
        <w:snapToGrid w:val="0"/>
        <w:spacing w:line="440" w:lineRule="exact"/>
        <w:ind w:firstLine="555"/>
        <w:rPr>
          <w:rFonts w:ascii="仿宋" w:hAnsi="仿宋" w:eastAsia="仿宋" w:cs="仿宋"/>
          <w:sz w:val="24"/>
          <w:szCs w:val="24"/>
        </w:rPr>
      </w:pPr>
      <w:r>
        <w:rPr>
          <w:rFonts w:hint="eastAsia" w:ascii="仿宋" w:hAnsi="仿宋" w:eastAsia="仿宋" w:cs="仿宋"/>
          <w:sz w:val="24"/>
          <w:szCs w:val="24"/>
        </w:rPr>
        <w:t>3、供应商的报价均超过了采购预算，采购人不能支付的；</w:t>
      </w:r>
    </w:p>
    <w:p w14:paraId="6536F973">
      <w:pPr>
        <w:snapToGrid w:val="0"/>
        <w:spacing w:line="440" w:lineRule="exact"/>
        <w:ind w:firstLine="555"/>
        <w:rPr>
          <w:rFonts w:ascii="仿宋" w:hAnsi="仿宋" w:eastAsia="仿宋" w:cs="仿宋"/>
          <w:sz w:val="24"/>
          <w:szCs w:val="24"/>
        </w:rPr>
      </w:pPr>
      <w:r>
        <w:rPr>
          <w:rFonts w:hint="eastAsia" w:ascii="仿宋" w:hAnsi="仿宋" w:eastAsia="仿宋" w:cs="仿宋"/>
          <w:sz w:val="24"/>
          <w:szCs w:val="24"/>
        </w:rPr>
        <w:t>4、因重大变故，采购任务取消的。</w:t>
      </w:r>
    </w:p>
    <w:p w14:paraId="0687F924">
      <w:pPr>
        <w:snapToGrid w:val="0"/>
        <w:spacing w:line="440" w:lineRule="exact"/>
        <w:ind w:firstLine="555"/>
        <w:rPr>
          <w:rFonts w:ascii="仿宋" w:hAnsi="仿宋" w:eastAsia="仿宋" w:cs="仿宋"/>
          <w:sz w:val="24"/>
          <w:szCs w:val="24"/>
        </w:rPr>
      </w:pPr>
      <w:r>
        <w:rPr>
          <w:rFonts w:hint="eastAsia" w:ascii="仿宋" w:hAnsi="仿宋" w:eastAsia="仿宋" w:cs="仿宋"/>
          <w:sz w:val="24"/>
          <w:szCs w:val="24"/>
        </w:rPr>
        <w:t>上述均保留评委会认定可以确定为无效投标或废标的其他情况。</w:t>
      </w:r>
    </w:p>
    <w:p w14:paraId="2DB49C9E">
      <w:pPr>
        <w:snapToGrid w:val="0"/>
        <w:spacing w:line="440" w:lineRule="exact"/>
        <w:ind w:firstLine="555"/>
        <w:rPr>
          <w:rFonts w:ascii="仿宋" w:hAnsi="仿宋" w:eastAsia="仿宋" w:cs="仿宋"/>
          <w:b/>
          <w:sz w:val="24"/>
          <w:szCs w:val="24"/>
        </w:rPr>
      </w:pPr>
      <w:r>
        <w:rPr>
          <w:rFonts w:hint="eastAsia" w:ascii="仿宋" w:hAnsi="仿宋" w:eastAsia="仿宋" w:cs="仿宋"/>
          <w:b/>
          <w:sz w:val="24"/>
          <w:szCs w:val="24"/>
        </w:rPr>
        <w:t>六、评标方法</w:t>
      </w:r>
    </w:p>
    <w:p w14:paraId="0F3EDCE3">
      <w:pPr>
        <w:snapToGrid w:val="0"/>
        <w:spacing w:line="440" w:lineRule="exact"/>
        <w:ind w:firstLine="555"/>
        <w:rPr>
          <w:rFonts w:ascii="仿宋" w:hAnsi="仿宋" w:eastAsia="仿宋" w:cs="仿宋"/>
          <w:sz w:val="24"/>
          <w:szCs w:val="24"/>
        </w:rPr>
      </w:pPr>
      <w:r>
        <w:rPr>
          <w:rFonts w:hint="eastAsia" w:ascii="仿宋" w:hAnsi="仿宋" w:eastAsia="仿宋" w:cs="仿宋"/>
          <w:sz w:val="24"/>
          <w:szCs w:val="24"/>
        </w:rPr>
        <w:t>采用综合评分法。分资格审查、商务技术标、价格标三部分进行评审，商务技术和价格总分值为100分，加分和减分因素除外。</w:t>
      </w:r>
    </w:p>
    <w:p w14:paraId="558D83FE">
      <w:pPr>
        <w:snapToGrid w:val="0"/>
        <w:spacing w:line="440" w:lineRule="exact"/>
        <w:ind w:firstLine="555"/>
        <w:rPr>
          <w:rFonts w:ascii="仿宋" w:hAnsi="仿宋" w:eastAsia="仿宋" w:cs="仿宋"/>
          <w:sz w:val="24"/>
          <w:szCs w:val="24"/>
        </w:rPr>
      </w:pPr>
      <w:r>
        <w:rPr>
          <w:rFonts w:hint="eastAsia" w:ascii="仿宋" w:hAnsi="仿宋" w:eastAsia="仿宋" w:cs="仿宋"/>
          <w:sz w:val="24"/>
          <w:szCs w:val="24"/>
        </w:rPr>
        <w:t>首先由采购人评审供应商资格性、符合性，对合格的供应商由评标委员会评审商务技术标，待商务技术标评审结束后，再开启价格标。</w:t>
      </w:r>
    </w:p>
    <w:p w14:paraId="57440F1C">
      <w:pPr>
        <w:snapToGrid w:val="0"/>
        <w:spacing w:line="440" w:lineRule="exact"/>
        <w:ind w:firstLine="555"/>
        <w:rPr>
          <w:rFonts w:ascii="仿宋" w:hAnsi="仿宋" w:eastAsia="仿宋" w:cs="仿宋"/>
          <w:b/>
          <w:sz w:val="24"/>
          <w:szCs w:val="24"/>
        </w:rPr>
      </w:pPr>
      <w:r>
        <w:rPr>
          <w:rFonts w:hint="eastAsia" w:ascii="仿宋" w:hAnsi="仿宋" w:eastAsia="仿宋" w:cs="仿宋"/>
          <w:b/>
          <w:sz w:val="24"/>
          <w:szCs w:val="24"/>
        </w:rPr>
        <w:t>评委在认真审阅投标文件的基础上，根据各投标文件的商务、技术部分的响应情况，对各评分项目进行评分，不得统一打分。</w:t>
      </w:r>
    </w:p>
    <w:p w14:paraId="7327DC09">
      <w:pPr>
        <w:snapToGrid w:val="0"/>
        <w:spacing w:line="440" w:lineRule="exact"/>
        <w:ind w:left="568"/>
        <w:rPr>
          <w:rFonts w:ascii="仿宋" w:hAnsi="仿宋" w:eastAsia="仿宋" w:cs="仿宋"/>
          <w:b/>
          <w:sz w:val="24"/>
          <w:szCs w:val="24"/>
        </w:rPr>
      </w:pPr>
      <w:r>
        <w:rPr>
          <w:rFonts w:hint="eastAsia" w:ascii="仿宋" w:hAnsi="仿宋" w:eastAsia="仿宋" w:cs="仿宋"/>
          <w:b/>
          <w:sz w:val="24"/>
          <w:szCs w:val="24"/>
        </w:rPr>
        <w:t>（一）采购人代表对供应商资格性、符合性审查。</w:t>
      </w:r>
    </w:p>
    <w:p w14:paraId="022FE658">
      <w:pPr>
        <w:pStyle w:val="110"/>
        <w:snapToGrid w:val="0"/>
        <w:spacing w:line="440" w:lineRule="exact"/>
        <w:ind w:firstLine="494"/>
        <w:contextualSpacing/>
        <w:rPr>
          <w:rFonts w:ascii="仿宋" w:hAnsi="仿宋" w:eastAsia="仿宋" w:cs="仿宋"/>
          <w:sz w:val="24"/>
          <w:szCs w:val="24"/>
        </w:rPr>
      </w:pPr>
      <w:r>
        <w:rPr>
          <w:rFonts w:hint="eastAsia" w:ascii="仿宋" w:hAnsi="仿宋" w:eastAsia="仿宋" w:cs="仿宋"/>
          <w:sz w:val="24"/>
          <w:szCs w:val="24"/>
        </w:rPr>
        <w:t>供应商资格性、符合性不合格的，其投标文件判定为无效投标文件。合格的，评委对其投标文件继续评审。</w:t>
      </w:r>
    </w:p>
    <w:p w14:paraId="34506CDE">
      <w:pPr>
        <w:pStyle w:val="110"/>
        <w:snapToGrid w:val="0"/>
        <w:spacing w:line="440" w:lineRule="exact"/>
        <w:ind w:firstLine="482" w:firstLineChars="200"/>
        <w:contextualSpacing/>
        <w:rPr>
          <w:rFonts w:ascii="仿宋" w:hAnsi="仿宋" w:eastAsia="仿宋" w:cs="仿宋"/>
          <w:sz w:val="24"/>
          <w:szCs w:val="24"/>
          <w:lang w:val="zh-CN"/>
        </w:rPr>
      </w:pPr>
      <w:r>
        <w:rPr>
          <w:rFonts w:hint="eastAsia" w:ascii="仿宋" w:hAnsi="仿宋" w:eastAsia="仿宋" w:cs="仿宋"/>
          <w:b/>
          <w:sz w:val="24"/>
          <w:szCs w:val="24"/>
          <w:lang w:val="zh-CN"/>
        </w:rPr>
        <w:t xml:space="preserve"> (二)商务技术分</w:t>
      </w:r>
      <w:r>
        <w:rPr>
          <w:rFonts w:hint="eastAsia" w:ascii="仿宋" w:hAnsi="仿宋" w:eastAsia="仿宋" w:cs="仿宋"/>
          <w:b/>
          <w:bCs/>
          <w:sz w:val="24"/>
          <w:szCs w:val="24"/>
          <w:lang w:val="zh-CN"/>
        </w:rPr>
        <w:t>：</w:t>
      </w:r>
      <w:r>
        <w:rPr>
          <w:rFonts w:hint="eastAsia" w:ascii="仿宋" w:hAnsi="仿宋" w:eastAsia="仿宋" w:cs="仿宋"/>
          <w:b/>
          <w:bCs/>
          <w:sz w:val="24"/>
          <w:szCs w:val="24"/>
        </w:rPr>
        <w:t>70</w:t>
      </w:r>
      <w:r>
        <w:rPr>
          <w:rFonts w:hint="eastAsia" w:ascii="仿宋" w:hAnsi="仿宋" w:eastAsia="仿宋" w:cs="仿宋"/>
          <w:b/>
          <w:bCs/>
          <w:sz w:val="24"/>
          <w:szCs w:val="24"/>
          <w:lang w:val="zh-CN"/>
        </w:rPr>
        <w:t>分</w:t>
      </w:r>
    </w:p>
    <w:tbl>
      <w:tblPr>
        <w:tblStyle w:val="51"/>
        <w:tblW w:w="90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843"/>
        <w:gridCol w:w="5755"/>
        <w:gridCol w:w="737"/>
      </w:tblGrid>
      <w:tr w14:paraId="74A82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000000" w:fill="auto"/>
            <w:vAlign w:val="center"/>
          </w:tcPr>
          <w:p w14:paraId="767DCA63">
            <w:pPr>
              <w:spacing w:line="440" w:lineRule="exact"/>
              <w:jc w:val="center"/>
              <w:rPr>
                <w:rFonts w:ascii="仿宋" w:hAnsi="仿宋" w:eastAsia="仿宋"/>
                <w:b/>
                <w:sz w:val="24"/>
                <w:szCs w:val="24"/>
              </w:rPr>
            </w:pPr>
            <w:r>
              <w:rPr>
                <w:rFonts w:ascii="仿宋" w:hAnsi="仿宋" w:eastAsia="仿宋"/>
                <w:b/>
                <w:sz w:val="24"/>
                <w:szCs w:val="24"/>
              </w:rPr>
              <w:t>序号</w:t>
            </w:r>
          </w:p>
        </w:tc>
        <w:tc>
          <w:tcPr>
            <w:tcW w:w="1843" w:type="dxa"/>
            <w:shd w:val="clear" w:color="000000" w:fill="auto"/>
            <w:vAlign w:val="center"/>
          </w:tcPr>
          <w:p w14:paraId="1E7C0B10">
            <w:pPr>
              <w:spacing w:line="440" w:lineRule="exact"/>
              <w:jc w:val="center"/>
              <w:rPr>
                <w:rFonts w:ascii="仿宋" w:hAnsi="仿宋" w:eastAsia="仿宋"/>
                <w:b/>
                <w:sz w:val="24"/>
                <w:szCs w:val="24"/>
              </w:rPr>
            </w:pPr>
            <w:r>
              <w:rPr>
                <w:rFonts w:ascii="仿宋" w:hAnsi="仿宋" w:eastAsia="仿宋"/>
                <w:b/>
                <w:sz w:val="24"/>
                <w:szCs w:val="24"/>
              </w:rPr>
              <w:t>评定项目</w:t>
            </w:r>
          </w:p>
        </w:tc>
        <w:tc>
          <w:tcPr>
            <w:tcW w:w="5755" w:type="dxa"/>
            <w:shd w:val="clear" w:color="000000" w:fill="auto"/>
            <w:vAlign w:val="center"/>
          </w:tcPr>
          <w:p w14:paraId="2E3D2AED">
            <w:pPr>
              <w:spacing w:line="440" w:lineRule="exact"/>
              <w:jc w:val="center"/>
              <w:rPr>
                <w:rFonts w:ascii="仿宋" w:hAnsi="仿宋" w:eastAsia="仿宋"/>
                <w:b/>
                <w:sz w:val="24"/>
                <w:szCs w:val="24"/>
              </w:rPr>
            </w:pPr>
            <w:r>
              <w:rPr>
                <w:rFonts w:ascii="仿宋" w:hAnsi="仿宋" w:eastAsia="仿宋"/>
                <w:b/>
                <w:sz w:val="24"/>
                <w:szCs w:val="24"/>
              </w:rPr>
              <w:t>评定方法和说明</w:t>
            </w:r>
          </w:p>
        </w:tc>
        <w:tc>
          <w:tcPr>
            <w:tcW w:w="737" w:type="dxa"/>
            <w:shd w:val="clear" w:color="000000" w:fill="auto"/>
            <w:vAlign w:val="center"/>
          </w:tcPr>
          <w:p w14:paraId="53FCA1EA">
            <w:pPr>
              <w:spacing w:line="440" w:lineRule="exact"/>
              <w:jc w:val="center"/>
              <w:rPr>
                <w:rFonts w:ascii="仿宋" w:hAnsi="仿宋" w:eastAsia="仿宋"/>
                <w:b/>
                <w:sz w:val="24"/>
                <w:szCs w:val="24"/>
              </w:rPr>
            </w:pPr>
            <w:r>
              <w:rPr>
                <w:rFonts w:ascii="仿宋" w:hAnsi="仿宋" w:eastAsia="仿宋"/>
                <w:b/>
                <w:sz w:val="24"/>
                <w:szCs w:val="24"/>
              </w:rPr>
              <w:t>基准分值</w:t>
            </w:r>
          </w:p>
        </w:tc>
      </w:tr>
      <w:tr w14:paraId="57FD1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000000" w:fill="auto"/>
            <w:vAlign w:val="center"/>
          </w:tcPr>
          <w:p w14:paraId="555485C1">
            <w:pPr>
              <w:spacing w:line="440" w:lineRule="exact"/>
              <w:jc w:val="center"/>
              <w:rPr>
                <w:rFonts w:ascii="仿宋" w:hAnsi="仿宋" w:eastAsia="仿宋"/>
                <w:sz w:val="24"/>
                <w:szCs w:val="24"/>
              </w:rPr>
            </w:pPr>
            <w:r>
              <w:rPr>
                <w:rFonts w:ascii="仿宋" w:hAnsi="仿宋" w:eastAsia="仿宋"/>
                <w:sz w:val="24"/>
                <w:szCs w:val="24"/>
              </w:rPr>
              <w:t>1</w:t>
            </w:r>
          </w:p>
        </w:tc>
        <w:tc>
          <w:tcPr>
            <w:tcW w:w="1843" w:type="dxa"/>
            <w:shd w:val="clear" w:color="000000" w:fill="auto"/>
            <w:vAlign w:val="center"/>
          </w:tcPr>
          <w:p w14:paraId="413C950C">
            <w:pPr>
              <w:spacing w:line="440" w:lineRule="exact"/>
              <w:jc w:val="center"/>
              <w:rPr>
                <w:rFonts w:ascii="仿宋" w:hAnsi="仿宋" w:eastAsia="仿宋"/>
                <w:sz w:val="24"/>
                <w:szCs w:val="24"/>
              </w:rPr>
            </w:pPr>
            <w:r>
              <w:rPr>
                <w:rFonts w:hint="eastAsia" w:ascii="仿宋" w:hAnsi="仿宋" w:eastAsia="仿宋"/>
                <w:sz w:val="24"/>
                <w:szCs w:val="24"/>
              </w:rPr>
              <w:t>企业业绩</w:t>
            </w:r>
          </w:p>
        </w:tc>
        <w:tc>
          <w:tcPr>
            <w:tcW w:w="5755" w:type="dxa"/>
            <w:shd w:val="clear" w:color="000000" w:fill="auto"/>
            <w:vAlign w:val="center"/>
          </w:tcPr>
          <w:p w14:paraId="2FA3216F">
            <w:pPr>
              <w:spacing w:line="440" w:lineRule="exact"/>
              <w:rPr>
                <w:rFonts w:ascii="仿宋" w:hAnsi="仿宋" w:eastAsia="仿宋"/>
                <w:color w:val="auto"/>
                <w:sz w:val="24"/>
                <w:szCs w:val="24"/>
              </w:rPr>
            </w:pPr>
            <w:r>
              <w:rPr>
                <w:rFonts w:ascii="仿宋" w:hAnsi="仿宋" w:eastAsia="仿宋"/>
                <w:sz w:val="24"/>
                <w:szCs w:val="24"/>
              </w:rPr>
              <w:t>1、投标</w:t>
            </w:r>
            <w:r>
              <w:rPr>
                <w:rFonts w:ascii="仿宋" w:hAnsi="仿宋" w:eastAsia="仿宋"/>
                <w:color w:val="auto"/>
                <w:sz w:val="24"/>
                <w:szCs w:val="24"/>
              </w:rPr>
              <w:t>供应商</w:t>
            </w:r>
            <w:r>
              <w:rPr>
                <w:rFonts w:hint="eastAsia" w:ascii="仿宋" w:hAnsi="仿宋" w:eastAsia="仿宋"/>
                <w:color w:val="auto"/>
                <w:sz w:val="24"/>
                <w:szCs w:val="24"/>
              </w:rPr>
              <w:t>提供自2022年1月以来</w:t>
            </w:r>
            <w:r>
              <w:rPr>
                <w:rFonts w:ascii="仿宋" w:hAnsi="仿宋" w:eastAsia="仿宋"/>
                <w:color w:val="auto"/>
                <w:sz w:val="24"/>
                <w:szCs w:val="24"/>
              </w:rPr>
              <w:t>承担过类似绿化养护服务</w:t>
            </w:r>
            <w:r>
              <w:rPr>
                <w:rFonts w:hint="eastAsia" w:ascii="仿宋" w:hAnsi="仿宋" w:eastAsia="仿宋"/>
                <w:color w:val="auto"/>
                <w:sz w:val="24"/>
                <w:szCs w:val="24"/>
              </w:rPr>
              <w:t>或租摆项目已完成</w:t>
            </w:r>
            <w:r>
              <w:rPr>
                <w:rFonts w:ascii="仿宋" w:hAnsi="仿宋" w:eastAsia="仿宋"/>
                <w:color w:val="auto"/>
                <w:sz w:val="24"/>
                <w:szCs w:val="24"/>
              </w:rPr>
              <w:t>的成功案例</w:t>
            </w:r>
            <w:r>
              <w:rPr>
                <w:rFonts w:hint="eastAsia" w:ascii="仿宋" w:hAnsi="仿宋" w:eastAsia="仿宋"/>
                <w:color w:val="auto"/>
                <w:sz w:val="24"/>
                <w:szCs w:val="24"/>
              </w:rPr>
              <w:t>，</w:t>
            </w:r>
            <w:r>
              <w:rPr>
                <w:rFonts w:ascii="仿宋" w:hAnsi="仿宋" w:eastAsia="仿宋"/>
                <w:color w:val="auto"/>
                <w:sz w:val="24"/>
                <w:szCs w:val="24"/>
              </w:rPr>
              <w:t>每</w:t>
            </w:r>
            <w:r>
              <w:rPr>
                <w:rFonts w:hint="eastAsia" w:ascii="仿宋" w:hAnsi="仿宋" w:eastAsia="仿宋"/>
                <w:color w:val="auto"/>
                <w:sz w:val="24"/>
                <w:szCs w:val="24"/>
              </w:rPr>
              <w:t>提供一个业绩合同</w:t>
            </w:r>
            <w:r>
              <w:rPr>
                <w:rFonts w:ascii="仿宋" w:hAnsi="仿宋" w:eastAsia="仿宋"/>
                <w:color w:val="auto"/>
                <w:sz w:val="24"/>
                <w:szCs w:val="24"/>
              </w:rPr>
              <w:t>得2分，</w:t>
            </w:r>
            <w:r>
              <w:rPr>
                <w:rFonts w:hint="eastAsia" w:ascii="仿宋" w:hAnsi="仿宋" w:eastAsia="仿宋"/>
                <w:color w:val="auto"/>
                <w:sz w:val="24"/>
                <w:szCs w:val="24"/>
              </w:rPr>
              <w:t>本项</w:t>
            </w:r>
            <w:r>
              <w:rPr>
                <w:rFonts w:ascii="仿宋" w:hAnsi="仿宋" w:eastAsia="仿宋"/>
                <w:color w:val="auto"/>
                <w:sz w:val="24"/>
                <w:szCs w:val="24"/>
              </w:rPr>
              <w:t>最高得10分。</w:t>
            </w:r>
          </w:p>
          <w:p w14:paraId="6DFBB259">
            <w:pPr>
              <w:spacing w:line="440" w:lineRule="exact"/>
              <w:rPr>
                <w:rFonts w:ascii="仿宋" w:hAnsi="仿宋" w:eastAsia="仿宋"/>
                <w:color w:val="auto"/>
                <w:sz w:val="24"/>
                <w:szCs w:val="24"/>
              </w:rPr>
            </w:pPr>
            <w:r>
              <w:rPr>
                <w:rFonts w:ascii="仿宋" w:hAnsi="仿宋" w:eastAsia="仿宋"/>
                <w:color w:val="auto"/>
                <w:sz w:val="24"/>
                <w:szCs w:val="24"/>
              </w:rPr>
              <w:t>注：</w:t>
            </w:r>
            <w:r>
              <w:rPr>
                <w:rFonts w:hint="eastAsia" w:ascii="仿宋" w:hAnsi="仿宋" w:eastAsia="仿宋"/>
                <w:color w:val="auto"/>
                <w:sz w:val="24"/>
                <w:szCs w:val="24"/>
              </w:rPr>
              <w:t>同一服务单位</w:t>
            </w:r>
            <w:r>
              <w:rPr>
                <w:rFonts w:ascii="仿宋" w:hAnsi="仿宋" w:eastAsia="仿宋"/>
                <w:color w:val="auto"/>
                <w:sz w:val="24"/>
                <w:szCs w:val="24"/>
              </w:rPr>
              <w:t>不重复记分</w:t>
            </w:r>
            <w:r>
              <w:rPr>
                <w:rFonts w:hint="eastAsia" w:ascii="仿宋" w:hAnsi="仿宋" w:eastAsia="仿宋"/>
                <w:color w:val="auto"/>
                <w:sz w:val="24"/>
                <w:szCs w:val="24"/>
              </w:rPr>
              <w:t>。需提供案例项目合同、中标通知书、与合同相对应的发票、业主正面评价材料的扫描或复印件。</w:t>
            </w:r>
          </w:p>
          <w:p w14:paraId="1BF29FF4">
            <w:pPr>
              <w:spacing w:line="440" w:lineRule="exact"/>
              <w:rPr>
                <w:rFonts w:ascii="仿宋" w:hAnsi="仿宋" w:eastAsia="仿宋"/>
                <w:sz w:val="24"/>
                <w:szCs w:val="24"/>
              </w:rPr>
            </w:pPr>
            <w:r>
              <w:rPr>
                <w:rFonts w:hint="eastAsia" w:ascii="仿宋" w:hAnsi="仿宋" w:eastAsia="仿宋"/>
                <w:color w:val="auto"/>
                <w:sz w:val="24"/>
                <w:szCs w:val="24"/>
              </w:rPr>
              <w:t>不提供或提供不全不得分。</w:t>
            </w:r>
          </w:p>
        </w:tc>
        <w:tc>
          <w:tcPr>
            <w:tcW w:w="737" w:type="dxa"/>
            <w:shd w:val="clear" w:color="000000" w:fill="auto"/>
            <w:vAlign w:val="center"/>
          </w:tcPr>
          <w:p w14:paraId="5FFA77FF">
            <w:pPr>
              <w:spacing w:line="44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10</w:t>
            </w:r>
          </w:p>
        </w:tc>
      </w:tr>
      <w:tr w14:paraId="282B6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9" w:hRule="atLeast"/>
          <w:jc w:val="center"/>
        </w:trPr>
        <w:tc>
          <w:tcPr>
            <w:tcW w:w="709" w:type="dxa"/>
            <w:tcBorders>
              <w:bottom w:val="single" w:color="auto" w:sz="4" w:space="0"/>
            </w:tcBorders>
            <w:shd w:val="clear" w:color="000000" w:fill="auto"/>
            <w:vAlign w:val="center"/>
          </w:tcPr>
          <w:p w14:paraId="27A03711">
            <w:pPr>
              <w:spacing w:line="440" w:lineRule="exact"/>
              <w:jc w:val="center"/>
              <w:rPr>
                <w:rFonts w:ascii="仿宋" w:hAnsi="仿宋" w:eastAsia="仿宋"/>
                <w:sz w:val="24"/>
                <w:szCs w:val="24"/>
              </w:rPr>
            </w:pPr>
            <w:r>
              <w:rPr>
                <w:rFonts w:hint="eastAsia" w:ascii="仿宋" w:hAnsi="仿宋" w:eastAsia="仿宋"/>
                <w:sz w:val="24"/>
                <w:szCs w:val="24"/>
              </w:rPr>
              <w:t>2</w:t>
            </w:r>
          </w:p>
        </w:tc>
        <w:tc>
          <w:tcPr>
            <w:tcW w:w="1843" w:type="dxa"/>
            <w:tcBorders>
              <w:bottom w:val="single" w:color="auto" w:sz="4" w:space="0"/>
            </w:tcBorders>
            <w:shd w:val="clear" w:color="000000" w:fill="auto"/>
            <w:vAlign w:val="center"/>
          </w:tcPr>
          <w:p w14:paraId="5AD67CAD">
            <w:pPr>
              <w:spacing w:line="440" w:lineRule="exact"/>
              <w:jc w:val="center"/>
              <w:rPr>
                <w:rFonts w:ascii="仿宋" w:hAnsi="仿宋" w:eastAsia="仿宋"/>
                <w:sz w:val="24"/>
                <w:szCs w:val="24"/>
              </w:rPr>
            </w:pPr>
            <w:r>
              <w:rPr>
                <w:rFonts w:hint="eastAsia" w:ascii="仿宋" w:hAnsi="仿宋" w:eastAsia="仿宋"/>
                <w:sz w:val="24"/>
                <w:szCs w:val="24"/>
              </w:rPr>
              <w:t>企业具备响应服务的能力</w:t>
            </w:r>
          </w:p>
        </w:tc>
        <w:tc>
          <w:tcPr>
            <w:tcW w:w="5755" w:type="dxa"/>
            <w:tcBorders>
              <w:bottom w:val="single" w:color="auto" w:sz="4" w:space="0"/>
            </w:tcBorders>
            <w:shd w:val="clear" w:color="000000" w:fill="auto"/>
            <w:vAlign w:val="center"/>
          </w:tcPr>
          <w:p w14:paraId="7063BB80">
            <w:pPr>
              <w:numPr>
                <w:ilvl w:val="0"/>
                <w:numId w:val="2"/>
              </w:numPr>
              <w:spacing w:line="440" w:lineRule="exact"/>
              <w:rPr>
                <w:rFonts w:ascii="仿宋" w:hAnsi="仿宋" w:eastAsia="仿宋"/>
                <w:color w:val="auto"/>
                <w:sz w:val="24"/>
                <w:szCs w:val="24"/>
              </w:rPr>
            </w:pPr>
            <w:r>
              <w:rPr>
                <w:rFonts w:hint="eastAsia" w:ascii="仿宋" w:hAnsi="仿宋" w:eastAsia="仿宋"/>
                <w:sz w:val="24"/>
                <w:szCs w:val="24"/>
              </w:rPr>
              <w:t>投标供应商具备联动温室大棚</w:t>
            </w:r>
            <w:r>
              <w:rPr>
                <w:rFonts w:hint="eastAsia" w:ascii="仿宋" w:hAnsi="仿宋" w:eastAsia="仿宋"/>
                <w:color w:val="auto"/>
                <w:sz w:val="24"/>
                <w:szCs w:val="24"/>
              </w:rPr>
              <w:t>的得2分，苗木基地的得2分。最高得4分。</w:t>
            </w:r>
          </w:p>
          <w:p w14:paraId="7644AB08">
            <w:pPr>
              <w:spacing w:line="440" w:lineRule="exact"/>
              <w:rPr>
                <w:rFonts w:ascii="仿宋" w:hAnsi="仿宋" w:eastAsia="仿宋"/>
                <w:color w:val="auto"/>
                <w:sz w:val="24"/>
                <w:szCs w:val="24"/>
              </w:rPr>
            </w:pPr>
            <w:r>
              <w:rPr>
                <w:rFonts w:hint="eastAsia" w:ascii="仿宋" w:hAnsi="仿宋" w:eastAsia="仿宋"/>
                <w:color w:val="auto"/>
                <w:sz w:val="24"/>
                <w:szCs w:val="24"/>
              </w:rPr>
              <w:t>注：需提供</w:t>
            </w:r>
            <w:r>
              <w:rPr>
                <w:rFonts w:ascii="仿宋" w:hAnsi="仿宋" w:eastAsia="仿宋"/>
                <w:color w:val="auto"/>
                <w:sz w:val="24"/>
                <w:szCs w:val="24"/>
              </w:rPr>
              <w:fldChar w:fldCharType="begin"/>
            </w:r>
            <w:r>
              <w:rPr>
                <w:rFonts w:ascii="仿宋" w:hAnsi="仿宋" w:eastAsia="仿宋"/>
                <w:color w:val="auto"/>
                <w:sz w:val="24"/>
                <w:szCs w:val="24"/>
              </w:rPr>
              <w:instrText xml:space="preserve"> </w:instrText>
            </w:r>
            <w:r>
              <w:rPr>
                <w:rFonts w:hint="eastAsia" w:ascii="仿宋" w:hAnsi="仿宋" w:eastAsia="仿宋"/>
                <w:color w:val="auto"/>
                <w:sz w:val="24"/>
                <w:szCs w:val="24"/>
              </w:rPr>
              <w:instrText xml:space="preserve">= 1 \* GB3</w:instrText>
            </w:r>
            <w:r>
              <w:rPr>
                <w:rFonts w:ascii="仿宋" w:hAnsi="仿宋" w:eastAsia="仿宋"/>
                <w:color w:val="auto"/>
                <w:sz w:val="24"/>
                <w:szCs w:val="24"/>
              </w:rPr>
              <w:instrText xml:space="preserve"> </w:instrText>
            </w:r>
            <w:r>
              <w:rPr>
                <w:rFonts w:ascii="仿宋" w:hAnsi="仿宋" w:eastAsia="仿宋"/>
                <w:color w:val="auto"/>
                <w:sz w:val="24"/>
                <w:szCs w:val="24"/>
              </w:rPr>
              <w:fldChar w:fldCharType="separate"/>
            </w:r>
            <w:r>
              <w:rPr>
                <w:rFonts w:hint="eastAsia" w:ascii="仿宋" w:hAnsi="仿宋" w:eastAsia="仿宋"/>
                <w:color w:val="auto"/>
                <w:sz w:val="24"/>
                <w:szCs w:val="24"/>
              </w:rPr>
              <w:t>①</w:t>
            </w:r>
            <w:r>
              <w:rPr>
                <w:rFonts w:ascii="仿宋" w:hAnsi="仿宋" w:eastAsia="仿宋"/>
                <w:color w:val="auto"/>
                <w:sz w:val="24"/>
                <w:szCs w:val="24"/>
              </w:rPr>
              <w:fldChar w:fldCharType="end"/>
            </w:r>
            <w:r>
              <w:rPr>
                <w:rFonts w:hint="eastAsia" w:ascii="仿宋" w:hAnsi="仿宋" w:eastAsia="仿宋"/>
                <w:color w:val="auto"/>
                <w:sz w:val="24"/>
                <w:szCs w:val="24"/>
              </w:rPr>
              <w:t>图片、</w:t>
            </w:r>
            <w:r>
              <w:rPr>
                <w:rFonts w:ascii="仿宋" w:hAnsi="仿宋" w:eastAsia="仿宋"/>
                <w:color w:val="auto"/>
                <w:sz w:val="24"/>
                <w:szCs w:val="24"/>
              </w:rPr>
              <w:fldChar w:fldCharType="begin"/>
            </w:r>
            <w:r>
              <w:rPr>
                <w:rFonts w:ascii="仿宋" w:hAnsi="仿宋" w:eastAsia="仿宋"/>
                <w:color w:val="auto"/>
                <w:sz w:val="24"/>
                <w:szCs w:val="24"/>
              </w:rPr>
              <w:instrText xml:space="preserve"> </w:instrText>
            </w:r>
            <w:r>
              <w:rPr>
                <w:rFonts w:hint="eastAsia" w:ascii="仿宋" w:hAnsi="仿宋" w:eastAsia="仿宋"/>
                <w:color w:val="auto"/>
                <w:sz w:val="24"/>
                <w:szCs w:val="24"/>
              </w:rPr>
              <w:instrText xml:space="preserve">= 2 \* GB3</w:instrText>
            </w:r>
            <w:r>
              <w:rPr>
                <w:rFonts w:ascii="仿宋" w:hAnsi="仿宋" w:eastAsia="仿宋"/>
                <w:color w:val="auto"/>
                <w:sz w:val="24"/>
                <w:szCs w:val="24"/>
              </w:rPr>
              <w:instrText xml:space="preserve"> </w:instrText>
            </w:r>
            <w:r>
              <w:rPr>
                <w:rFonts w:ascii="仿宋" w:hAnsi="仿宋" w:eastAsia="仿宋"/>
                <w:color w:val="auto"/>
                <w:sz w:val="24"/>
                <w:szCs w:val="24"/>
              </w:rPr>
              <w:fldChar w:fldCharType="separate"/>
            </w:r>
            <w:r>
              <w:rPr>
                <w:rFonts w:hint="eastAsia" w:ascii="仿宋" w:hAnsi="仿宋" w:eastAsia="仿宋"/>
                <w:color w:val="auto"/>
                <w:sz w:val="24"/>
                <w:szCs w:val="24"/>
              </w:rPr>
              <w:t>②</w:t>
            </w:r>
            <w:r>
              <w:rPr>
                <w:rFonts w:ascii="仿宋" w:hAnsi="仿宋" w:eastAsia="仿宋"/>
                <w:color w:val="auto"/>
                <w:sz w:val="24"/>
                <w:szCs w:val="24"/>
              </w:rPr>
              <w:fldChar w:fldCharType="end"/>
            </w:r>
            <w:r>
              <w:rPr>
                <w:rFonts w:hint="eastAsia" w:ascii="仿宋" w:hAnsi="仿宋" w:eastAsia="仿宋"/>
                <w:color w:val="auto"/>
                <w:sz w:val="24"/>
                <w:szCs w:val="24"/>
              </w:rPr>
              <w:t>自有产权证明文件或租赁（租赁须提供租赁费用对公转账证明扫描或复印件）的相关证明文件，不提供或提供不全不得分。</w:t>
            </w:r>
          </w:p>
          <w:p w14:paraId="67043F48">
            <w:pPr>
              <w:numPr>
                <w:ilvl w:val="0"/>
                <w:numId w:val="2"/>
              </w:numPr>
              <w:spacing w:line="440" w:lineRule="exact"/>
              <w:rPr>
                <w:rFonts w:ascii="仿宋" w:hAnsi="仿宋" w:eastAsia="仿宋"/>
                <w:color w:val="auto"/>
                <w:sz w:val="24"/>
                <w:szCs w:val="24"/>
              </w:rPr>
            </w:pPr>
            <w:r>
              <w:rPr>
                <w:rFonts w:hint="eastAsia" w:ascii="仿宋" w:hAnsi="仿宋" w:eastAsia="仿宋"/>
                <w:sz w:val="24"/>
                <w:szCs w:val="24"/>
              </w:rPr>
              <w:t>投标供应商具备完成项目所需的相关作业设备，包括但不限于剪草机、机动喷药</w:t>
            </w:r>
            <w:r>
              <w:rPr>
                <w:rFonts w:hint="eastAsia" w:ascii="仿宋" w:hAnsi="仿宋" w:eastAsia="仿宋"/>
                <w:color w:val="auto"/>
                <w:sz w:val="24"/>
                <w:szCs w:val="24"/>
              </w:rPr>
              <w:t>机、</w:t>
            </w:r>
            <w:r>
              <w:rPr>
                <w:rFonts w:hint="eastAsia" w:ascii="仿宋" w:hAnsi="仿宋" w:eastAsia="仿宋"/>
                <w:color w:val="auto"/>
                <w:sz w:val="24"/>
                <w:szCs w:val="24"/>
                <w:lang w:eastAsia="zh-CN"/>
              </w:rPr>
              <w:t>小型</w:t>
            </w:r>
            <w:r>
              <w:rPr>
                <w:rFonts w:hint="eastAsia" w:ascii="仿宋" w:hAnsi="仿宋" w:eastAsia="仿宋"/>
                <w:color w:val="auto"/>
                <w:sz w:val="24"/>
                <w:szCs w:val="24"/>
              </w:rPr>
              <w:t>洒水车、</w:t>
            </w:r>
            <w:r>
              <w:rPr>
                <w:rFonts w:hint="eastAsia" w:ascii="仿宋" w:hAnsi="仿宋" w:eastAsia="仿宋"/>
                <w:sz w:val="24"/>
                <w:szCs w:val="24"/>
              </w:rPr>
              <w:t>树枝粉碎机等，每提供1种</w:t>
            </w:r>
            <w:r>
              <w:rPr>
                <w:rFonts w:hint="eastAsia" w:ascii="仿宋" w:hAnsi="仿宋" w:eastAsia="仿宋"/>
                <w:color w:val="auto"/>
                <w:sz w:val="24"/>
                <w:szCs w:val="24"/>
              </w:rPr>
              <w:t>设备得</w:t>
            </w:r>
            <w:r>
              <w:rPr>
                <w:rFonts w:hint="eastAsia" w:ascii="仿宋" w:hAnsi="仿宋" w:eastAsia="仿宋"/>
                <w:color w:val="auto"/>
                <w:sz w:val="24"/>
                <w:szCs w:val="24"/>
                <w:lang w:val="en-US" w:eastAsia="zh-CN"/>
              </w:rPr>
              <w:t>1</w:t>
            </w:r>
            <w:r>
              <w:rPr>
                <w:rFonts w:hint="eastAsia" w:ascii="仿宋" w:hAnsi="仿宋" w:eastAsia="仿宋"/>
                <w:color w:val="auto"/>
                <w:sz w:val="24"/>
                <w:szCs w:val="24"/>
              </w:rPr>
              <w:t>分，最高得</w:t>
            </w:r>
            <w:r>
              <w:rPr>
                <w:rFonts w:hint="eastAsia" w:ascii="仿宋" w:hAnsi="仿宋" w:eastAsia="仿宋"/>
                <w:color w:val="auto"/>
                <w:sz w:val="24"/>
                <w:szCs w:val="24"/>
                <w:lang w:val="en-US" w:eastAsia="zh-CN"/>
              </w:rPr>
              <w:t>7</w:t>
            </w:r>
            <w:r>
              <w:rPr>
                <w:rFonts w:hint="eastAsia" w:ascii="仿宋" w:hAnsi="仿宋" w:eastAsia="仿宋"/>
                <w:color w:val="auto"/>
                <w:sz w:val="24"/>
                <w:szCs w:val="24"/>
              </w:rPr>
              <w:t>分。</w:t>
            </w:r>
          </w:p>
          <w:p w14:paraId="4B2AF7AA">
            <w:pPr>
              <w:numPr>
                <w:ilvl w:val="0"/>
                <w:numId w:val="0"/>
              </w:numPr>
              <w:spacing w:line="440" w:lineRule="exact"/>
              <w:rPr>
                <w:rFonts w:hint="eastAsia" w:ascii="仿宋" w:hAnsi="仿宋" w:eastAsia="仿宋"/>
                <w:sz w:val="24"/>
                <w:szCs w:val="24"/>
              </w:rPr>
            </w:pPr>
            <w:r>
              <w:rPr>
                <w:rFonts w:hint="eastAsia" w:ascii="仿宋" w:hAnsi="仿宋" w:eastAsia="仿宋"/>
                <w:sz w:val="24"/>
                <w:szCs w:val="24"/>
              </w:rPr>
              <w:t>注：如为自有设备，需提供购买发票扫描或复印件；如为租赁设备，须提供相关租赁设备合同、租赁费用付款发票扫描或复印件等证明文件（所提供开具的发票日期须在本项目采购文件公告发布前）。</w:t>
            </w:r>
            <w:r>
              <w:rPr>
                <w:rFonts w:hint="eastAsia" w:ascii="仿宋" w:hAnsi="仿宋" w:eastAsia="仿宋"/>
                <w:sz w:val="24"/>
                <w:szCs w:val="24"/>
                <w:lang w:eastAsia="zh-CN"/>
              </w:rPr>
              <w:t>不提供或提供不全不得分。</w:t>
            </w:r>
          </w:p>
          <w:p w14:paraId="41BE75B6">
            <w:pPr>
              <w:numPr>
                <w:ilvl w:val="0"/>
                <w:numId w:val="0"/>
              </w:numPr>
              <w:spacing w:line="440" w:lineRule="exact"/>
              <w:rPr>
                <w:rFonts w:hint="eastAsia" w:ascii="仿宋" w:hAnsi="仿宋" w:eastAsia="仿宋"/>
                <w:sz w:val="24"/>
                <w:szCs w:val="24"/>
                <w:lang w:eastAsia="zh-CN"/>
              </w:rPr>
            </w:pPr>
            <w:r>
              <w:rPr>
                <w:rFonts w:hint="eastAsia" w:ascii="仿宋" w:hAnsi="仿宋" w:eastAsia="仿宋"/>
                <w:sz w:val="24"/>
                <w:szCs w:val="24"/>
                <w:lang w:val="en-US" w:eastAsia="zh-CN"/>
              </w:rPr>
              <w:t>3.</w:t>
            </w:r>
            <w:r>
              <w:rPr>
                <w:rFonts w:hint="eastAsia" w:ascii="仿宋" w:hAnsi="仿宋" w:eastAsia="仿宋"/>
                <w:sz w:val="24"/>
                <w:szCs w:val="24"/>
                <w:lang w:eastAsia="zh-CN"/>
              </w:rPr>
              <w:t>供应商自有绿植、绿化修剪垃圾运输车辆的每辆车得</w:t>
            </w:r>
            <w:r>
              <w:rPr>
                <w:rFonts w:hint="eastAsia" w:ascii="仿宋" w:hAnsi="仿宋" w:eastAsia="仿宋"/>
                <w:sz w:val="24"/>
                <w:szCs w:val="24"/>
                <w:lang w:val="en-US" w:eastAsia="zh-CN"/>
              </w:rPr>
              <w:t>2</w:t>
            </w:r>
            <w:r>
              <w:rPr>
                <w:rFonts w:hint="eastAsia" w:ascii="仿宋" w:hAnsi="仿宋" w:eastAsia="仿宋"/>
                <w:sz w:val="24"/>
                <w:szCs w:val="24"/>
                <w:lang w:eastAsia="zh-CN"/>
              </w:rPr>
              <w:t>分，最高得</w:t>
            </w:r>
            <w:r>
              <w:rPr>
                <w:rFonts w:hint="eastAsia" w:ascii="仿宋" w:hAnsi="仿宋" w:eastAsia="仿宋"/>
                <w:sz w:val="24"/>
                <w:szCs w:val="24"/>
                <w:lang w:val="en-US" w:eastAsia="zh-CN"/>
              </w:rPr>
              <w:t>4</w:t>
            </w:r>
            <w:r>
              <w:rPr>
                <w:rFonts w:hint="eastAsia" w:ascii="仿宋" w:hAnsi="仿宋" w:eastAsia="仿宋"/>
                <w:sz w:val="24"/>
                <w:szCs w:val="24"/>
                <w:lang w:eastAsia="zh-CN"/>
              </w:rPr>
              <w:t>分。</w:t>
            </w:r>
          </w:p>
          <w:p w14:paraId="7002E750">
            <w:pPr>
              <w:numPr>
                <w:ilvl w:val="0"/>
                <w:numId w:val="0"/>
              </w:numPr>
              <w:spacing w:line="440" w:lineRule="exact"/>
              <w:rPr>
                <w:rFonts w:ascii="仿宋" w:hAnsi="仿宋" w:eastAsia="仿宋"/>
                <w:lang w:eastAsia="zh-CN"/>
              </w:rPr>
            </w:pPr>
            <w:r>
              <w:rPr>
                <w:rFonts w:hint="eastAsia" w:ascii="仿宋" w:hAnsi="仿宋" w:eastAsia="仿宋"/>
                <w:sz w:val="24"/>
                <w:szCs w:val="24"/>
                <w:lang w:eastAsia="zh-CN"/>
              </w:rPr>
              <w:t>注：须提供车辆照片、购买发票、车辆行驶证（须与供应商名称一致）扫描或复印件。不提供或提供不全不得分。</w:t>
            </w:r>
          </w:p>
        </w:tc>
        <w:tc>
          <w:tcPr>
            <w:tcW w:w="737" w:type="dxa"/>
            <w:tcBorders>
              <w:bottom w:val="single" w:color="auto" w:sz="4" w:space="0"/>
            </w:tcBorders>
            <w:shd w:val="clear" w:color="000000" w:fill="auto"/>
            <w:vAlign w:val="center"/>
          </w:tcPr>
          <w:p w14:paraId="24D4D4F8">
            <w:pPr>
              <w:spacing w:line="440" w:lineRule="exact"/>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15</w:t>
            </w:r>
          </w:p>
        </w:tc>
      </w:tr>
      <w:tr w14:paraId="1E197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4" w:hRule="atLeast"/>
          <w:jc w:val="center"/>
        </w:trPr>
        <w:tc>
          <w:tcPr>
            <w:tcW w:w="709" w:type="dxa"/>
            <w:tcBorders>
              <w:bottom w:val="single" w:color="auto" w:sz="4" w:space="0"/>
            </w:tcBorders>
            <w:shd w:val="clear" w:color="000000" w:fill="auto"/>
            <w:vAlign w:val="center"/>
          </w:tcPr>
          <w:p w14:paraId="09534298">
            <w:pPr>
              <w:spacing w:line="440" w:lineRule="exact"/>
              <w:jc w:val="center"/>
              <w:rPr>
                <w:rFonts w:ascii="仿宋" w:hAnsi="仿宋" w:eastAsia="仿宋"/>
                <w:sz w:val="24"/>
                <w:szCs w:val="24"/>
              </w:rPr>
            </w:pPr>
            <w:r>
              <w:rPr>
                <w:rFonts w:hint="eastAsia" w:ascii="仿宋" w:hAnsi="仿宋" w:eastAsia="仿宋"/>
                <w:sz w:val="24"/>
                <w:szCs w:val="24"/>
              </w:rPr>
              <w:t>3</w:t>
            </w:r>
          </w:p>
        </w:tc>
        <w:tc>
          <w:tcPr>
            <w:tcW w:w="1843" w:type="dxa"/>
            <w:tcBorders>
              <w:bottom w:val="single" w:color="auto" w:sz="4" w:space="0"/>
            </w:tcBorders>
            <w:shd w:val="clear" w:color="000000" w:fill="auto"/>
            <w:vAlign w:val="center"/>
          </w:tcPr>
          <w:p w14:paraId="3857EE8F">
            <w:pPr>
              <w:spacing w:line="440" w:lineRule="exact"/>
              <w:rPr>
                <w:rFonts w:hint="eastAsia" w:ascii="仿宋" w:hAnsi="仿宋" w:eastAsia="仿宋"/>
                <w:color w:val="auto"/>
                <w:sz w:val="24"/>
                <w:szCs w:val="24"/>
                <w:lang w:eastAsia="zh-CN"/>
              </w:rPr>
            </w:pPr>
            <w:r>
              <w:rPr>
                <w:rFonts w:hint="eastAsia" w:ascii="仿宋" w:hAnsi="仿宋" w:eastAsia="仿宋"/>
                <w:color w:val="auto"/>
                <w:sz w:val="24"/>
                <w:szCs w:val="24"/>
                <w:lang w:eastAsia="zh-CN"/>
              </w:rPr>
              <w:t>人员专业能力</w:t>
            </w:r>
          </w:p>
          <w:p w14:paraId="0B56D6C2">
            <w:pPr>
              <w:spacing w:line="440" w:lineRule="exact"/>
              <w:rPr>
                <w:rFonts w:hint="eastAsia" w:ascii="仿宋" w:hAnsi="仿宋" w:eastAsia="仿宋"/>
                <w:color w:val="auto"/>
                <w:sz w:val="24"/>
                <w:szCs w:val="24"/>
                <w:lang w:eastAsia="zh-CN"/>
              </w:rPr>
            </w:pPr>
          </w:p>
        </w:tc>
        <w:tc>
          <w:tcPr>
            <w:tcW w:w="5755" w:type="dxa"/>
            <w:tcBorders>
              <w:bottom w:val="single" w:color="auto" w:sz="4" w:space="0"/>
            </w:tcBorders>
            <w:shd w:val="clear" w:color="000000" w:fill="auto"/>
            <w:vAlign w:val="center"/>
          </w:tcPr>
          <w:p w14:paraId="694FEE6A">
            <w:pPr>
              <w:spacing w:line="440" w:lineRule="exact"/>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auto"/>
                <w:sz w:val="24"/>
                <w:szCs w:val="24"/>
                <w:lang w:val="en-US" w:eastAsia="zh-CN"/>
              </w:rPr>
              <w:t>1</w:t>
            </w:r>
            <w:r>
              <w:rPr>
                <w:rFonts w:hint="eastAsia" w:ascii="仿宋" w:hAnsi="仿宋" w:eastAsia="仿宋"/>
                <w:color w:val="000000" w:themeColor="text1"/>
                <w:sz w:val="24"/>
                <w:szCs w:val="24"/>
                <w:lang w:val="en-US" w:eastAsia="zh-CN"/>
                <w14:textFill>
                  <w14:solidFill>
                    <w14:schemeClr w14:val="tx1"/>
                  </w14:solidFill>
                </w14:textFill>
              </w:rPr>
              <w:t>.</w:t>
            </w:r>
            <w:r>
              <w:rPr>
                <w:rFonts w:hint="eastAsia" w:ascii="仿宋" w:hAnsi="仿宋" w:eastAsia="仿宋"/>
                <w:color w:val="000000" w:themeColor="text1"/>
                <w:sz w:val="24"/>
                <w:szCs w:val="24"/>
                <w:lang w:eastAsia="zh-CN"/>
                <w14:textFill>
                  <w14:solidFill>
                    <w14:schemeClr w14:val="tx1"/>
                  </w14:solidFill>
                </w14:textFill>
              </w:rPr>
              <w:t>拟派项目负责人（1人）</w:t>
            </w:r>
          </w:p>
          <w:p w14:paraId="1A8A8705">
            <w:pPr>
              <w:spacing w:line="440" w:lineRule="exact"/>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eastAsia="zh-CN"/>
                <w14:textFill>
                  <w14:solidFill>
                    <w14:schemeClr w14:val="tx1"/>
                  </w14:solidFill>
                </w14:textFill>
              </w:rPr>
              <w:t>拟派项目负责人具备本科学历和园林绿化及相关专业中级及以上职称的，得</w:t>
            </w:r>
            <w:r>
              <w:rPr>
                <w:rFonts w:hint="eastAsia" w:ascii="仿宋" w:hAnsi="仿宋" w:eastAsia="仿宋"/>
                <w:color w:val="000000" w:themeColor="text1"/>
                <w:sz w:val="24"/>
                <w:szCs w:val="24"/>
                <w:lang w:val="en-US" w:eastAsia="zh-CN"/>
                <w14:textFill>
                  <w14:solidFill>
                    <w14:schemeClr w14:val="tx1"/>
                  </w14:solidFill>
                </w14:textFill>
              </w:rPr>
              <w:t>5</w:t>
            </w:r>
            <w:r>
              <w:rPr>
                <w:rFonts w:hint="eastAsia" w:ascii="仿宋" w:hAnsi="仿宋" w:eastAsia="仿宋"/>
                <w:color w:val="000000" w:themeColor="text1"/>
                <w:sz w:val="24"/>
                <w:szCs w:val="24"/>
                <w:lang w:eastAsia="zh-CN"/>
                <w14:textFill>
                  <w14:solidFill>
                    <w14:schemeClr w14:val="tx1"/>
                  </w14:solidFill>
                </w14:textFill>
              </w:rPr>
              <w:t>分；</w:t>
            </w:r>
          </w:p>
          <w:p w14:paraId="40C7B32F">
            <w:pPr>
              <w:spacing w:line="440" w:lineRule="exact"/>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lang w:eastAsia="zh-CN"/>
                <w14:textFill>
                  <w14:solidFill>
                    <w14:schemeClr w14:val="tx1"/>
                  </w14:solidFill>
                </w14:textFill>
              </w:rPr>
              <w:t xml:space="preserve">拟派项目负责人具有园林绿化及相关专业初级职称的，得 </w:t>
            </w:r>
            <w:r>
              <w:rPr>
                <w:rFonts w:hint="eastAsia" w:ascii="仿宋" w:hAnsi="仿宋" w:eastAsia="仿宋"/>
                <w:color w:val="000000" w:themeColor="text1"/>
                <w:sz w:val="24"/>
                <w:szCs w:val="24"/>
                <w:lang w:val="en-US" w:eastAsia="zh-CN"/>
                <w14:textFill>
                  <w14:solidFill>
                    <w14:schemeClr w14:val="tx1"/>
                  </w14:solidFill>
                </w14:textFill>
              </w:rPr>
              <w:t>3</w:t>
            </w:r>
            <w:r>
              <w:rPr>
                <w:rFonts w:hint="eastAsia" w:ascii="仿宋" w:hAnsi="仿宋" w:eastAsia="仿宋"/>
                <w:color w:val="000000" w:themeColor="text1"/>
                <w:sz w:val="24"/>
                <w:szCs w:val="24"/>
                <w:lang w:eastAsia="zh-CN"/>
                <w14:textFill>
                  <w14:solidFill>
                    <w14:schemeClr w14:val="tx1"/>
                  </w14:solidFill>
                </w14:textFill>
              </w:rPr>
              <w:t xml:space="preserve"> 分；</w:t>
            </w:r>
          </w:p>
          <w:p w14:paraId="4996FE3B">
            <w:pPr>
              <w:spacing w:line="440" w:lineRule="exact"/>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lang w:eastAsia="zh-CN"/>
                <w14:textFill>
                  <w14:solidFill>
                    <w14:schemeClr w14:val="tx1"/>
                  </w14:solidFill>
                </w14:textFill>
              </w:rPr>
              <w:t>其余不得分。</w:t>
            </w:r>
          </w:p>
          <w:p w14:paraId="2B4B0ED6">
            <w:pPr>
              <w:spacing w:line="440" w:lineRule="exact"/>
              <w:rPr>
                <w:rFonts w:hint="eastAsia" w:ascii="仿宋" w:hAnsi="仿宋" w:eastAsia="仿宋"/>
                <w:color w:val="auto"/>
                <w:sz w:val="24"/>
                <w:szCs w:val="24"/>
                <w:lang w:eastAsia="zh-CN"/>
              </w:rPr>
            </w:pPr>
            <w:r>
              <w:rPr>
                <w:rFonts w:hint="eastAsia" w:ascii="仿宋" w:hAnsi="仿宋" w:eastAsia="仿宋"/>
                <w:color w:val="auto"/>
                <w:sz w:val="24"/>
                <w:szCs w:val="24"/>
                <w:lang w:val="en-US" w:eastAsia="zh-CN"/>
              </w:rPr>
              <w:t>2.</w:t>
            </w:r>
            <w:r>
              <w:rPr>
                <w:rFonts w:hint="eastAsia" w:ascii="仿宋" w:hAnsi="仿宋" w:eastAsia="仿宋"/>
                <w:color w:val="auto"/>
                <w:sz w:val="24"/>
                <w:szCs w:val="24"/>
                <w:lang w:eastAsia="zh-CN"/>
              </w:rPr>
              <w:t>养护人员</w:t>
            </w:r>
          </w:p>
          <w:p w14:paraId="402714E4">
            <w:pPr>
              <w:spacing w:line="440" w:lineRule="exact"/>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养护人员（不含项目负责人）具有园林绿化及相关专业初级职称证书或园艺绿化工技能证书及以上的，有一个人员得 2分，最多得</w:t>
            </w:r>
            <w:r>
              <w:rPr>
                <w:rFonts w:hint="eastAsia" w:ascii="仿宋" w:hAnsi="仿宋" w:eastAsia="仿宋"/>
                <w:color w:val="auto"/>
                <w:sz w:val="24"/>
                <w:szCs w:val="24"/>
                <w:lang w:val="en-US" w:eastAsia="zh-CN"/>
              </w:rPr>
              <w:t>4</w:t>
            </w:r>
            <w:r>
              <w:rPr>
                <w:rFonts w:hint="eastAsia" w:ascii="仿宋" w:hAnsi="仿宋" w:eastAsia="仿宋"/>
                <w:color w:val="auto"/>
                <w:sz w:val="24"/>
                <w:szCs w:val="24"/>
                <w:lang w:eastAsia="zh-CN"/>
              </w:rPr>
              <w:t>分。</w:t>
            </w:r>
          </w:p>
          <w:p w14:paraId="6C1CAA1A">
            <w:pPr>
              <w:spacing w:line="440" w:lineRule="exact"/>
              <w:rPr>
                <w:rFonts w:hint="eastAsia" w:ascii="仿宋" w:hAnsi="仿宋" w:eastAsia="仿宋"/>
                <w:color w:val="auto"/>
                <w:sz w:val="24"/>
                <w:szCs w:val="24"/>
                <w:lang w:eastAsia="zh-CN"/>
              </w:rPr>
            </w:pPr>
            <w:r>
              <w:rPr>
                <w:rFonts w:hint="eastAsia" w:ascii="仿宋" w:hAnsi="仿宋" w:eastAsia="仿宋"/>
                <w:color w:val="auto"/>
                <w:sz w:val="24"/>
                <w:szCs w:val="24"/>
                <w:lang w:eastAsia="zh-CN"/>
              </w:rPr>
              <w:t>注：“园林绿化及相关专业”指：与园林绿化工程规划、设计、施工及养护管理相关的专业，包括园林（含园林规划设计、园林植物、风景园林、园林绿化等）、园艺、城市规划、景观、植物（含植保、森保等）、风景旅游、环境艺术等专业。</w:t>
            </w:r>
          </w:p>
          <w:p w14:paraId="317DECF5">
            <w:pPr>
              <w:spacing w:line="440" w:lineRule="exact"/>
              <w:ind w:firstLine="480" w:firstLineChars="200"/>
              <w:rPr>
                <w:rFonts w:hint="eastAsia" w:ascii="仿宋" w:hAnsi="仿宋" w:eastAsia="仿宋"/>
                <w:color w:val="auto"/>
                <w:sz w:val="24"/>
                <w:szCs w:val="24"/>
                <w:lang w:eastAsia="zh-CN"/>
              </w:rPr>
            </w:pPr>
            <w:r>
              <w:rPr>
                <w:rFonts w:hint="eastAsia" w:ascii="仿宋" w:hAnsi="仿宋" w:eastAsia="仿宋"/>
                <w:color w:val="auto"/>
                <w:sz w:val="24"/>
                <w:szCs w:val="24"/>
                <w:lang w:eastAsia="zh-CN"/>
              </w:rPr>
              <w:t>以上须提供相关人员身份证、证书（原件备查）、劳动合同及2025年以来任意一个月企业为其缴纳社保凭证的扫描或复印件。不提供或提供不全不得分。</w:t>
            </w:r>
          </w:p>
        </w:tc>
        <w:tc>
          <w:tcPr>
            <w:tcW w:w="737" w:type="dxa"/>
            <w:tcBorders>
              <w:bottom w:val="single" w:color="auto" w:sz="4" w:space="0"/>
            </w:tcBorders>
            <w:shd w:val="clear" w:color="000000" w:fill="auto"/>
            <w:vAlign w:val="center"/>
          </w:tcPr>
          <w:p w14:paraId="02B66C0C">
            <w:pPr>
              <w:spacing w:line="440" w:lineRule="exact"/>
              <w:jc w:val="center"/>
              <w:rPr>
                <w:rFonts w:hint="eastAsia" w:ascii="仿宋" w:hAnsi="仿宋" w:eastAsia="仿宋"/>
                <w:sz w:val="24"/>
                <w:szCs w:val="24"/>
                <w:lang w:eastAsia="zh-CN"/>
              </w:rPr>
            </w:pPr>
            <w:r>
              <w:rPr>
                <w:rFonts w:hint="eastAsia" w:ascii="仿宋" w:hAnsi="仿宋" w:eastAsia="仿宋"/>
                <w:color w:val="000000" w:themeColor="text1"/>
                <w:sz w:val="24"/>
                <w:szCs w:val="24"/>
                <w:lang w:val="en-US" w:eastAsia="zh-CN"/>
                <w14:textFill>
                  <w14:solidFill>
                    <w14:schemeClr w14:val="tx1"/>
                  </w14:solidFill>
                </w14:textFill>
              </w:rPr>
              <w:t>9</w:t>
            </w:r>
          </w:p>
        </w:tc>
      </w:tr>
      <w:tr w14:paraId="674B4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4" w:hRule="atLeast"/>
          <w:jc w:val="center"/>
        </w:trPr>
        <w:tc>
          <w:tcPr>
            <w:tcW w:w="709" w:type="dxa"/>
            <w:tcBorders>
              <w:bottom w:val="single" w:color="auto" w:sz="4" w:space="0"/>
            </w:tcBorders>
            <w:shd w:val="clear" w:color="000000" w:fill="auto"/>
            <w:vAlign w:val="center"/>
          </w:tcPr>
          <w:p w14:paraId="3DB07049">
            <w:pPr>
              <w:spacing w:line="440" w:lineRule="exact"/>
              <w:jc w:val="center"/>
              <w:rPr>
                <w:rFonts w:ascii="仿宋" w:hAnsi="仿宋" w:eastAsia="仿宋"/>
                <w:sz w:val="24"/>
                <w:szCs w:val="24"/>
              </w:rPr>
            </w:pPr>
            <w:r>
              <w:rPr>
                <w:rFonts w:hint="eastAsia" w:ascii="仿宋" w:hAnsi="仿宋" w:eastAsia="仿宋"/>
                <w:sz w:val="24"/>
                <w:szCs w:val="24"/>
              </w:rPr>
              <w:t>4</w:t>
            </w:r>
          </w:p>
        </w:tc>
        <w:tc>
          <w:tcPr>
            <w:tcW w:w="1843" w:type="dxa"/>
            <w:tcBorders>
              <w:bottom w:val="single" w:color="auto" w:sz="4" w:space="0"/>
            </w:tcBorders>
            <w:shd w:val="clear" w:color="000000" w:fill="auto"/>
            <w:vAlign w:val="center"/>
          </w:tcPr>
          <w:p w14:paraId="0A0EB4CA">
            <w:pPr>
              <w:spacing w:line="440" w:lineRule="exact"/>
              <w:jc w:val="center"/>
              <w:rPr>
                <w:rFonts w:ascii="仿宋" w:hAnsi="仿宋" w:eastAsia="仿宋"/>
                <w:sz w:val="24"/>
                <w:szCs w:val="24"/>
              </w:rPr>
            </w:pPr>
            <w:r>
              <w:rPr>
                <w:rFonts w:hint="eastAsia" w:ascii="仿宋" w:hAnsi="仿宋" w:eastAsia="仿宋"/>
                <w:sz w:val="24"/>
                <w:szCs w:val="24"/>
              </w:rPr>
              <w:t>绿化养护</w:t>
            </w:r>
            <w:r>
              <w:rPr>
                <w:rFonts w:ascii="仿宋" w:hAnsi="仿宋" w:eastAsia="仿宋"/>
                <w:sz w:val="24"/>
                <w:szCs w:val="24"/>
              </w:rPr>
              <w:t>方案</w:t>
            </w:r>
          </w:p>
        </w:tc>
        <w:tc>
          <w:tcPr>
            <w:tcW w:w="5755" w:type="dxa"/>
            <w:tcBorders>
              <w:bottom w:val="single" w:color="auto" w:sz="4" w:space="0"/>
            </w:tcBorders>
            <w:shd w:val="clear" w:color="000000" w:fill="auto"/>
            <w:vAlign w:val="center"/>
          </w:tcPr>
          <w:p w14:paraId="1DCED4F4">
            <w:pPr>
              <w:spacing w:line="4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投标供应商针对本项目提供绿化养护方案及相应管理体系，包括但不限于绿化养护计划、养护人员组织及相应设备的投入清单、服务应答时间、对项目服务的质量承诺、内部人员管理体系等内容。</w:t>
            </w:r>
          </w:p>
          <w:p w14:paraId="28558242">
            <w:pPr>
              <w:spacing w:line="4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评委对各投标人实施方案横向对比打分。</w:t>
            </w:r>
          </w:p>
          <w:p w14:paraId="7A91749A">
            <w:pPr>
              <w:spacing w:line="4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（1）提供的方案可行、完整，完全符合用户实际需求的，得</w:t>
            </w:r>
            <w:r>
              <w:rPr>
                <w:rFonts w:ascii="仿宋" w:hAnsi="仿宋" w:eastAsia="仿宋"/>
                <w:color w:val="000000" w:themeColor="text1"/>
                <w:sz w:val="24"/>
                <w:szCs w:val="24"/>
                <w14:textFill>
                  <w14:solidFill>
                    <w14:schemeClr w14:val="tx1"/>
                  </w14:solidFill>
                </w14:textFill>
              </w:rPr>
              <w:t>9</w:t>
            </w:r>
            <w:r>
              <w:rPr>
                <w:rFonts w:hint="eastAsia" w:ascii="仿宋" w:hAnsi="仿宋" w:eastAsia="仿宋"/>
                <w:color w:val="000000" w:themeColor="text1"/>
                <w:sz w:val="24"/>
                <w:szCs w:val="24"/>
                <w14:textFill>
                  <w14:solidFill>
                    <w14:schemeClr w14:val="tx1"/>
                  </w14:solidFill>
                </w14:textFill>
              </w:rPr>
              <w:t>分 ；</w:t>
            </w:r>
          </w:p>
          <w:p w14:paraId="0842AD34">
            <w:pPr>
              <w:spacing w:line="4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（2）提供的方案可行性一般，满足用户部分需求的，得</w:t>
            </w:r>
            <w:r>
              <w:rPr>
                <w:rFonts w:ascii="仿宋" w:hAnsi="仿宋" w:eastAsia="仿宋"/>
                <w:color w:val="000000" w:themeColor="text1"/>
                <w:sz w:val="24"/>
                <w:szCs w:val="24"/>
                <w14:textFill>
                  <w14:solidFill>
                    <w14:schemeClr w14:val="tx1"/>
                  </w14:solidFill>
                </w14:textFill>
              </w:rPr>
              <w:t>6</w:t>
            </w:r>
            <w:r>
              <w:rPr>
                <w:rFonts w:hint="eastAsia" w:ascii="仿宋" w:hAnsi="仿宋" w:eastAsia="仿宋"/>
                <w:color w:val="000000" w:themeColor="text1"/>
                <w:sz w:val="24"/>
                <w:szCs w:val="24"/>
                <w14:textFill>
                  <w14:solidFill>
                    <w14:schemeClr w14:val="tx1"/>
                  </w14:solidFill>
                </w14:textFill>
              </w:rPr>
              <w:t>分 ；</w:t>
            </w:r>
          </w:p>
          <w:p w14:paraId="3DA504C1">
            <w:pPr>
              <w:spacing w:line="4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（3）提供的方案内容较少、可行性低的，得</w:t>
            </w:r>
            <w:r>
              <w:rPr>
                <w:rFonts w:ascii="仿宋" w:hAnsi="仿宋" w:eastAsia="仿宋"/>
                <w:color w:val="000000" w:themeColor="text1"/>
                <w:sz w:val="24"/>
                <w:szCs w:val="24"/>
                <w14:textFill>
                  <w14:solidFill>
                    <w14:schemeClr w14:val="tx1"/>
                  </w14:solidFill>
                </w14:textFill>
              </w:rPr>
              <w:t>3</w:t>
            </w:r>
            <w:r>
              <w:rPr>
                <w:rFonts w:hint="eastAsia" w:ascii="仿宋" w:hAnsi="仿宋" w:eastAsia="仿宋"/>
                <w:color w:val="000000" w:themeColor="text1"/>
                <w:sz w:val="24"/>
                <w:szCs w:val="24"/>
                <w14:textFill>
                  <w14:solidFill>
                    <w14:schemeClr w14:val="tx1"/>
                  </w14:solidFill>
                </w14:textFill>
              </w:rPr>
              <w:t>分；</w:t>
            </w:r>
          </w:p>
          <w:p w14:paraId="075C7458">
            <w:pPr>
              <w:spacing w:line="4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（4）未提供不得分。</w:t>
            </w:r>
          </w:p>
        </w:tc>
        <w:tc>
          <w:tcPr>
            <w:tcW w:w="737" w:type="dxa"/>
            <w:tcBorders>
              <w:bottom w:val="single" w:color="auto" w:sz="4" w:space="0"/>
            </w:tcBorders>
            <w:shd w:val="clear" w:color="000000" w:fill="auto"/>
            <w:vAlign w:val="center"/>
          </w:tcPr>
          <w:p w14:paraId="1A84DA64">
            <w:pPr>
              <w:spacing w:line="44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9</w:t>
            </w:r>
          </w:p>
        </w:tc>
      </w:tr>
      <w:tr w14:paraId="6A04B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0" w:hRule="atLeast"/>
          <w:jc w:val="center"/>
        </w:trPr>
        <w:tc>
          <w:tcPr>
            <w:tcW w:w="709" w:type="dxa"/>
            <w:tcBorders>
              <w:top w:val="single" w:color="auto" w:sz="4" w:space="0"/>
              <w:bottom w:val="single" w:color="auto" w:sz="4" w:space="0"/>
            </w:tcBorders>
            <w:shd w:val="clear" w:color="000000" w:fill="auto"/>
            <w:vAlign w:val="center"/>
          </w:tcPr>
          <w:p w14:paraId="42DB8FC3">
            <w:pPr>
              <w:spacing w:line="440" w:lineRule="exact"/>
              <w:jc w:val="center"/>
              <w:rPr>
                <w:rFonts w:ascii="仿宋" w:hAnsi="仿宋" w:eastAsia="仿宋"/>
                <w:sz w:val="24"/>
                <w:szCs w:val="24"/>
              </w:rPr>
            </w:pPr>
            <w:r>
              <w:rPr>
                <w:rFonts w:hint="eastAsia" w:ascii="仿宋" w:hAnsi="仿宋" w:eastAsia="仿宋"/>
                <w:sz w:val="24"/>
                <w:szCs w:val="24"/>
              </w:rPr>
              <w:t>5</w:t>
            </w:r>
          </w:p>
        </w:tc>
        <w:tc>
          <w:tcPr>
            <w:tcW w:w="1843" w:type="dxa"/>
            <w:tcBorders>
              <w:top w:val="single" w:color="auto" w:sz="4" w:space="0"/>
              <w:bottom w:val="single" w:color="auto" w:sz="4" w:space="0"/>
            </w:tcBorders>
            <w:shd w:val="clear" w:color="000000" w:fill="auto"/>
            <w:vAlign w:val="center"/>
          </w:tcPr>
          <w:p w14:paraId="58B82CEF">
            <w:pPr>
              <w:spacing w:line="440" w:lineRule="exact"/>
              <w:jc w:val="center"/>
              <w:rPr>
                <w:rFonts w:ascii="仿宋" w:hAnsi="仿宋" w:eastAsia="仿宋"/>
                <w:sz w:val="24"/>
                <w:szCs w:val="24"/>
              </w:rPr>
            </w:pPr>
            <w:r>
              <w:rPr>
                <w:rFonts w:hint="eastAsia" w:ascii="仿宋" w:hAnsi="仿宋" w:eastAsia="仿宋"/>
                <w:sz w:val="24"/>
                <w:szCs w:val="24"/>
              </w:rPr>
              <w:t>绿植租摆方案</w:t>
            </w:r>
          </w:p>
        </w:tc>
        <w:tc>
          <w:tcPr>
            <w:tcW w:w="5755" w:type="dxa"/>
            <w:tcBorders>
              <w:top w:val="single" w:color="auto" w:sz="4" w:space="0"/>
              <w:bottom w:val="single" w:color="auto" w:sz="4" w:space="0"/>
            </w:tcBorders>
            <w:shd w:val="clear" w:color="000000" w:fill="auto"/>
            <w:vAlign w:val="center"/>
          </w:tcPr>
          <w:p w14:paraId="6F31FECD">
            <w:pPr>
              <w:spacing w:line="4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投标供应商针对本项目的实际需求提供相应绿植租摆方案、日常服务维保计划及服务质量承诺。</w:t>
            </w:r>
          </w:p>
          <w:p w14:paraId="0CB7C608">
            <w:pPr>
              <w:spacing w:line="4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评委根据投标供应商所提供材料针对性、完整祥实性、科学合理性、可操作性等方面进行打分。</w:t>
            </w:r>
          </w:p>
          <w:p w14:paraId="5DE41D92">
            <w:pPr>
              <w:spacing w:line="4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（1）提供的方案可行、完整，完全符合用户实际需求的，得</w:t>
            </w:r>
            <w:r>
              <w:rPr>
                <w:rFonts w:ascii="仿宋" w:hAnsi="仿宋" w:eastAsia="仿宋"/>
                <w:color w:val="000000" w:themeColor="text1"/>
                <w:sz w:val="24"/>
                <w:szCs w:val="24"/>
                <w14:textFill>
                  <w14:solidFill>
                    <w14:schemeClr w14:val="tx1"/>
                  </w14:solidFill>
                </w14:textFill>
              </w:rPr>
              <w:t>9</w:t>
            </w:r>
            <w:r>
              <w:rPr>
                <w:rFonts w:hint="eastAsia" w:ascii="仿宋" w:hAnsi="仿宋" w:eastAsia="仿宋"/>
                <w:color w:val="000000" w:themeColor="text1"/>
                <w:sz w:val="24"/>
                <w:szCs w:val="24"/>
                <w14:textFill>
                  <w14:solidFill>
                    <w14:schemeClr w14:val="tx1"/>
                  </w14:solidFill>
                </w14:textFill>
              </w:rPr>
              <w:t>分 ；</w:t>
            </w:r>
          </w:p>
          <w:p w14:paraId="24840732">
            <w:pPr>
              <w:spacing w:line="4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（2）提供的方案可行性一般，满足用户部分需求的，得</w:t>
            </w:r>
            <w:r>
              <w:rPr>
                <w:rFonts w:ascii="仿宋" w:hAnsi="仿宋" w:eastAsia="仿宋"/>
                <w:color w:val="000000" w:themeColor="text1"/>
                <w:sz w:val="24"/>
                <w:szCs w:val="24"/>
                <w14:textFill>
                  <w14:solidFill>
                    <w14:schemeClr w14:val="tx1"/>
                  </w14:solidFill>
                </w14:textFill>
              </w:rPr>
              <w:t>6</w:t>
            </w:r>
            <w:r>
              <w:rPr>
                <w:rFonts w:hint="eastAsia" w:ascii="仿宋" w:hAnsi="仿宋" w:eastAsia="仿宋"/>
                <w:color w:val="000000" w:themeColor="text1"/>
                <w:sz w:val="24"/>
                <w:szCs w:val="24"/>
                <w14:textFill>
                  <w14:solidFill>
                    <w14:schemeClr w14:val="tx1"/>
                  </w14:solidFill>
                </w14:textFill>
              </w:rPr>
              <w:t>分 ；</w:t>
            </w:r>
          </w:p>
          <w:p w14:paraId="6311D10A">
            <w:pPr>
              <w:spacing w:line="4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（3）提供的方案内容较少、可行性低的，得</w:t>
            </w:r>
            <w:r>
              <w:rPr>
                <w:rFonts w:ascii="仿宋" w:hAnsi="仿宋" w:eastAsia="仿宋"/>
                <w:color w:val="000000" w:themeColor="text1"/>
                <w:sz w:val="24"/>
                <w:szCs w:val="24"/>
                <w14:textFill>
                  <w14:solidFill>
                    <w14:schemeClr w14:val="tx1"/>
                  </w14:solidFill>
                </w14:textFill>
              </w:rPr>
              <w:t>3</w:t>
            </w:r>
            <w:r>
              <w:rPr>
                <w:rFonts w:hint="eastAsia" w:ascii="仿宋" w:hAnsi="仿宋" w:eastAsia="仿宋"/>
                <w:color w:val="000000" w:themeColor="text1"/>
                <w:sz w:val="24"/>
                <w:szCs w:val="24"/>
                <w14:textFill>
                  <w14:solidFill>
                    <w14:schemeClr w14:val="tx1"/>
                  </w14:solidFill>
                </w14:textFill>
              </w:rPr>
              <w:t>分；</w:t>
            </w:r>
          </w:p>
          <w:p w14:paraId="522D5D3A">
            <w:pPr>
              <w:spacing w:line="4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（4）未提供不得分。</w:t>
            </w:r>
          </w:p>
        </w:tc>
        <w:tc>
          <w:tcPr>
            <w:tcW w:w="737" w:type="dxa"/>
            <w:tcBorders>
              <w:top w:val="single" w:color="auto" w:sz="4" w:space="0"/>
              <w:bottom w:val="single" w:color="auto" w:sz="4" w:space="0"/>
            </w:tcBorders>
            <w:shd w:val="clear" w:color="000000" w:fill="auto"/>
            <w:vAlign w:val="center"/>
          </w:tcPr>
          <w:p w14:paraId="635518BC">
            <w:pPr>
              <w:spacing w:line="44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9</w:t>
            </w:r>
          </w:p>
        </w:tc>
      </w:tr>
      <w:tr w14:paraId="1E999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jc w:val="center"/>
        </w:trPr>
        <w:tc>
          <w:tcPr>
            <w:tcW w:w="709" w:type="dxa"/>
            <w:tcBorders>
              <w:top w:val="single" w:color="auto" w:sz="4" w:space="0"/>
            </w:tcBorders>
            <w:shd w:val="clear" w:color="000000" w:fill="auto"/>
            <w:vAlign w:val="center"/>
          </w:tcPr>
          <w:p w14:paraId="2114670C">
            <w:pPr>
              <w:spacing w:line="440" w:lineRule="exact"/>
              <w:jc w:val="center"/>
              <w:rPr>
                <w:rFonts w:ascii="仿宋" w:hAnsi="仿宋" w:eastAsia="仿宋"/>
                <w:sz w:val="24"/>
                <w:szCs w:val="24"/>
              </w:rPr>
            </w:pPr>
            <w:r>
              <w:rPr>
                <w:rFonts w:hint="eastAsia" w:ascii="仿宋" w:hAnsi="仿宋" w:eastAsia="仿宋"/>
                <w:sz w:val="24"/>
                <w:szCs w:val="24"/>
              </w:rPr>
              <w:t>6</w:t>
            </w:r>
          </w:p>
        </w:tc>
        <w:tc>
          <w:tcPr>
            <w:tcW w:w="1843" w:type="dxa"/>
            <w:tcBorders>
              <w:top w:val="single" w:color="auto" w:sz="4" w:space="0"/>
            </w:tcBorders>
            <w:shd w:val="clear" w:color="000000" w:fill="auto"/>
            <w:vAlign w:val="center"/>
          </w:tcPr>
          <w:p w14:paraId="49CCC00E">
            <w:pPr>
              <w:spacing w:line="440" w:lineRule="exact"/>
              <w:jc w:val="center"/>
              <w:rPr>
                <w:rFonts w:ascii="仿宋" w:hAnsi="仿宋" w:eastAsia="仿宋"/>
                <w:sz w:val="24"/>
                <w:szCs w:val="24"/>
              </w:rPr>
            </w:pPr>
            <w:r>
              <w:rPr>
                <w:rFonts w:hint="eastAsia" w:ascii="仿宋" w:hAnsi="仿宋" w:eastAsia="仿宋"/>
                <w:sz w:val="24"/>
                <w:szCs w:val="24"/>
              </w:rPr>
              <w:t>突发性事件应急处理措施</w:t>
            </w:r>
          </w:p>
        </w:tc>
        <w:tc>
          <w:tcPr>
            <w:tcW w:w="5755" w:type="dxa"/>
            <w:tcBorders>
              <w:top w:val="single" w:color="auto" w:sz="4" w:space="0"/>
            </w:tcBorders>
            <w:shd w:val="clear" w:color="000000" w:fill="auto"/>
            <w:vAlign w:val="center"/>
          </w:tcPr>
          <w:p w14:paraId="44D3F496">
            <w:pPr>
              <w:spacing w:line="4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评委根据处理措施方案的完整性、针对性强、内容合理性等方面分等级酌情打分。</w:t>
            </w:r>
          </w:p>
          <w:p w14:paraId="51FD4636">
            <w:pPr>
              <w:spacing w:line="4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（1）提供的方案可行、完整，完全符合用户实际需求的，得</w:t>
            </w:r>
            <w:r>
              <w:rPr>
                <w:rFonts w:ascii="仿宋" w:hAnsi="仿宋" w:eastAsia="仿宋"/>
                <w:color w:val="000000" w:themeColor="text1"/>
                <w:sz w:val="24"/>
                <w:szCs w:val="24"/>
                <w14:textFill>
                  <w14:solidFill>
                    <w14:schemeClr w14:val="tx1"/>
                  </w14:solidFill>
                </w14:textFill>
              </w:rPr>
              <w:t>9</w:t>
            </w:r>
            <w:r>
              <w:rPr>
                <w:rFonts w:hint="eastAsia" w:ascii="仿宋" w:hAnsi="仿宋" w:eastAsia="仿宋"/>
                <w:color w:val="000000" w:themeColor="text1"/>
                <w:sz w:val="24"/>
                <w:szCs w:val="24"/>
                <w14:textFill>
                  <w14:solidFill>
                    <w14:schemeClr w14:val="tx1"/>
                  </w14:solidFill>
                </w14:textFill>
              </w:rPr>
              <w:t>分 ；</w:t>
            </w:r>
          </w:p>
          <w:p w14:paraId="62C60DF1">
            <w:pPr>
              <w:spacing w:line="4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（2）提供的方案可行性一般，满足用户部分需求的，得</w:t>
            </w:r>
            <w:r>
              <w:rPr>
                <w:rFonts w:ascii="仿宋" w:hAnsi="仿宋" w:eastAsia="仿宋"/>
                <w:color w:val="000000" w:themeColor="text1"/>
                <w:sz w:val="24"/>
                <w:szCs w:val="24"/>
                <w14:textFill>
                  <w14:solidFill>
                    <w14:schemeClr w14:val="tx1"/>
                  </w14:solidFill>
                </w14:textFill>
              </w:rPr>
              <w:t>6</w:t>
            </w:r>
            <w:r>
              <w:rPr>
                <w:rFonts w:hint="eastAsia" w:ascii="仿宋" w:hAnsi="仿宋" w:eastAsia="仿宋"/>
                <w:color w:val="000000" w:themeColor="text1"/>
                <w:sz w:val="24"/>
                <w:szCs w:val="24"/>
                <w14:textFill>
                  <w14:solidFill>
                    <w14:schemeClr w14:val="tx1"/>
                  </w14:solidFill>
                </w14:textFill>
              </w:rPr>
              <w:t>分 ；</w:t>
            </w:r>
          </w:p>
          <w:p w14:paraId="43A4E06E">
            <w:pPr>
              <w:spacing w:line="4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（3）提供的方案内容较少、可行性低的，得</w:t>
            </w:r>
            <w:r>
              <w:rPr>
                <w:rFonts w:ascii="仿宋" w:hAnsi="仿宋" w:eastAsia="仿宋"/>
                <w:color w:val="000000" w:themeColor="text1"/>
                <w:sz w:val="24"/>
                <w:szCs w:val="24"/>
                <w14:textFill>
                  <w14:solidFill>
                    <w14:schemeClr w14:val="tx1"/>
                  </w14:solidFill>
                </w14:textFill>
              </w:rPr>
              <w:t>3</w:t>
            </w:r>
            <w:r>
              <w:rPr>
                <w:rFonts w:hint="eastAsia" w:ascii="仿宋" w:hAnsi="仿宋" w:eastAsia="仿宋"/>
                <w:color w:val="000000" w:themeColor="text1"/>
                <w:sz w:val="24"/>
                <w:szCs w:val="24"/>
                <w14:textFill>
                  <w14:solidFill>
                    <w14:schemeClr w14:val="tx1"/>
                  </w14:solidFill>
                </w14:textFill>
              </w:rPr>
              <w:t>分；</w:t>
            </w:r>
          </w:p>
          <w:p w14:paraId="0D63D5A5">
            <w:pPr>
              <w:spacing w:line="4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（4）未提供不得分。</w:t>
            </w:r>
          </w:p>
        </w:tc>
        <w:tc>
          <w:tcPr>
            <w:tcW w:w="737" w:type="dxa"/>
            <w:tcBorders>
              <w:top w:val="single" w:color="auto" w:sz="4" w:space="0"/>
            </w:tcBorders>
            <w:shd w:val="clear" w:color="000000" w:fill="auto"/>
            <w:vAlign w:val="center"/>
          </w:tcPr>
          <w:p w14:paraId="74B9C12E">
            <w:pPr>
              <w:spacing w:line="44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9</w:t>
            </w:r>
          </w:p>
        </w:tc>
      </w:tr>
      <w:tr w14:paraId="0AA50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000000" w:fill="auto"/>
            <w:vAlign w:val="center"/>
          </w:tcPr>
          <w:p w14:paraId="416B17F8">
            <w:pPr>
              <w:spacing w:line="440" w:lineRule="exact"/>
              <w:jc w:val="center"/>
              <w:rPr>
                <w:rFonts w:ascii="仿宋" w:hAnsi="仿宋" w:eastAsia="仿宋"/>
                <w:sz w:val="24"/>
                <w:szCs w:val="24"/>
              </w:rPr>
            </w:pPr>
            <w:r>
              <w:rPr>
                <w:rFonts w:hint="eastAsia" w:ascii="仿宋" w:hAnsi="仿宋" w:eastAsia="仿宋"/>
                <w:sz w:val="24"/>
                <w:szCs w:val="24"/>
              </w:rPr>
              <w:t>7</w:t>
            </w:r>
          </w:p>
        </w:tc>
        <w:tc>
          <w:tcPr>
            <w:tcW w:w="1843" w:type="dxa"/>
            <w:shd w:val="clear" w:color="000000" w:fill="auto"/>
            <w:vAlign w:val="center"/>
          </w:tcPr>
          <w:p w14:paraId="72CA6888">
            <w:pPr>
              <w:spacing w:line="440" w:lineRule="exact"/>
              <w:jc w:val="center"/>
              <w:rPr>
                <w:rFonts w:ascii="仿宋" w:hAnsi="仿宋" w:eastAsia="仿宋"/>
                <w:sz w:val="24"/>
                <w:szCs w:val="24"/>
              </w:rPr>
            </w:pPr>
            <w:r>
              <w:rPr>
                <w:rFonts w:hint="eastAsia" w:ascii="仿宋" w:hAnsi="仿宋" w:eastAsia="仿宋"/>
                <w:sz w:val="24"/>
                <w:szCs w:val="24"/>
              </w:rPr>
              <w:t>针对服务的各项保障措施及优惠增值服务</w:t>
            </w:r>
          </w:p>
        </w:tc>
        <w:tc>
          <w:tcPr>
            <w:tcW w:w="5755" w:type="dxa"/>
            <w:shd w:val="clear" w:color="000000" w:fill="auto"/>
            <w:vAlign w:val="center"/>
          </w:tcPr>
          <w:p w14:paraId="26312A71">
            <w:pPr>
              <w:spacing w:line="4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评委根据保障措施方案的完整性、内容合理性，优惠增值服务等方面酌情打分</w:t>
            </w:r>
            <w:r>
              <w:rPr>
                <w:rFonts w:ascii="仿宋" w:hAnsi="仿宋" w:eastAsia="仿宋"/>
                <w:color w:val="000000" w:themeColor="text1"/>
                <w:sz w:val="24"/>
                <w:szCs w:val="24"/>
                <w14:textFill>
                  <w14:solidFill>
                    <w14:schemeClr w14:val="tx1"/>
                  </w14:solidFill>
                </w14:textFill>
              </w:rPr>
              <w:t>。优惠承诺有利于采购单位项目管理推进和实施，举措合理可行的，得9分；优惠承诺有利于采购单位项目管理推进和实施，举措相对合理可行的，得6分；优惠承诺有利于采购单位项目管理推进和实施，举措合理可行性一般的，得3分；不提供不得分。</w:t>
            </w:r>
          </w:p>
        </w:tc>
        <w:tc>
          <w:tcPr>
            <w:tcW w:w="737" w:type="dxa"/>
            <w:shd w:val="clear" w:color="000000" w:fill="auto"/>
            <w:vAlign w:val="center"/>
          </w:tcPr>
          <w:p w14:paraId="443F6C5B">
            <w:pPr>
              <w:spacing w:line="44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9</w:t>
            </w:r>
          </w:p>
        </w:tc>
      </w:tr>
    </w:tbl>
    <w:p w14:paraId="3E64E990">
      <w:pPr>
        <w:snapToGrid w:val="0"/>
        <w:spacing w:line="440" w:lineRule="exact"/>
        <w:ind w:firstLine="600" w:firstLineChars="250"/>
        <w:contextualSpacing/>
        <w:jc w:val="left"/>
        <w:rPr>
          <w:rFonts w:ascii="宋体" w:hAnsi="宋体" w:cs="宋体"/>
          <w:sz w:val="24"/>
          <w:szCs w:val="24"/>
        </w:rPr>
      </w:pPr>
      <w:r>
        <w:rPr>
          <w:rFonts w:hint="eastAsia" w:ascii="仿宋" w:hAnsi="仿宋" w:eastAsia="仿宋" w:cs="仿宋"/>
          <w:sz w:val="24"/>
          <w:szCs w:val="24"/>
        </w:rPr>
        <w:t>以上评审项涉及证书、合同等证明材料的，均需提供相关证明材料的复印件并加盖投标供应商公章。</w:t>
      </w:r>
    </w:p>
    <w:p w14:paraId="56598D9A">
      <w:pPr>
        <w:snapToGrid w:val="0"/>
        <w:spacing w:line="440" w:lineRule="exact"/>
        <w:ind w:firstLine="600" w:firstLineChars="250"/>
        <w:contextualSpacing/>
        <w:jc w:val="left"/>
        <w:rPr>
          <w:rFonts w:ascii="仿宋" w:hAnsi="仿宋" w:eastAsia="仿宋" w:cs="仿宋"/>
          <w:sz w:val="24"/>
          <w:szCs w:val="24"/>
        </w:rPr>
      </w:pPr>
      <w:r>
        <w:rPr>
          <w:rFonts w:hint="eastAsia" w:ascii="仿宋" w:hAnsi="仿宋" w:eastAsia="仿宋" w:cs="仿宋"/>
          <w:sz w:val="24"/>
          <w:szCs w:val="24"/>
        </w:rPr>
        <w:t>各供应商得分为评标委员会评分的算术平均分，分值保留小数点后两位。以上所设分值均为各条评分最大得分值，请评委根据各条评分内容在所设分值之间酌情打分。</w:t>
      </w:r>
    </w:p>
    <w:p w14:paraId="0DF9BACA">
      <w:pPr>
        <w:autoSpaceDE w:val="0"/>
        <w:autoSpaceDN w:val="0"/>
        <w:adjustRightInd w:val="0"/>
        <w:snapToGrid w:val="0"/>
        <w:spacing w:line="440" w:lineRule="exact"/>
        <w:ind w:firstLine="560"/>
        <w:rPr>
          <w:rFonts w:ascii="仿宋" w:hAnsi="仿宋" w:eastAsia="仿宋" w:cs="仿宋"/>
          <w:b/>
          <w:sz w:val="24"/>
          <w:szCs w:val="24"/>
          <w:lang w:val="zh-CN"/>
        </w:rPr>
      </w:pPr>
      <w:r>
        <w:rPr>
          <w:rFonts w:hint="eastAsia" w:ascii="仿宋" w:hAnsi="仿宋" w:eastAsia="仿宋" w:cs="仿宋"/>
          <w:b/>
          <w:sz w:val="24"/>
          <w:szCs w:val="24"/>
        </w:rPr>
        <w:t xml:space="preserve"> (</w:t>
      </w:r>
      <w:r>
        <w:rPr>
          <w:rFonts w:hint="eastAsia" w:ascii="仿宋" w:hAnsi="仿宋" w:eastAsia="仿宋" w:cs="仿宋"/>
          <w:b/>
          <w:sz w:val="24"/>
          <w:szCs w:val="24"/>
          <w:lang w:val="zh-CN"/>
        </w:rPr>
        <w:t>三</w:t>
      </w:r>
      <w:r>
        <w:rPr>
          <w:rFonts w:hint="eastAsia" w:ascii="仿宋" w:hAnsi="仿宋" w:eastAsia="仿宋" w:cs="仿宋"/>
          <w:b/>
          <w:sz w:val="24"/>
          <w:szCs w:val="24"/>
        </w:rPr>
        <w:t>）</w:t>
      </w:r>
      <w:r>
        <w:rPr>
          <w:rFonts w:hint="eastAsia" w:ascii="仿宋" w:hAnsi="仿宋" w:eastAsia="仿宋" w:cs="仿宋"/>
          <w:b/>
          <w:sz w:val="24"/>
          <w:szCs w:val="24"/>
          <w:lang w:val="zh-CN"/>
        </w:rPr>
        <w:t>价格分：</w:t>
      </w:r>
      <w:r>
        <w:rPr>
          <w:rFonts w:hint="eastAsia" w:ascii="仿宋" w:hAnsi="仿宋" w:eastAsia="仿宋" w:cs="仿宋"/>
          <w:b/>
          <w:sz w:val="24"/>
          <w:szCs w:val="24"/>
        </w:rPr>
        <w:t>3</w:t>
      </w:r>
      <w:r>
        <w:rPr>
          <w:rFonts w:hint="eastAsia" w:ascii="仿宋" w:hAnsi="仿宋" w:eastAsia="仿宋" w:cs="仿宋"/>
          <w:b/>
          <w:sz w:val="24"/>
          <w:szCs w:val="24"/>
          <w:lang w:val="zh-CN"/>
        </w:rPr>
        <w:t>0分</w:t>
      </w:r>
    </w:p>
    <w:p w14:paraId="59B75748">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价格分统一采用低价优先法计算，即满足磋商文件要求且最终报价最低的投标报价为评标基准价，其价格分为满分。其他供应商的价格分统一按照下列公式计算：</w:t>
      </w:r>
    </w:p>
    <w:p w14:paraId="1E6F4093">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投标报价得分=（评标基准价/最终报价）×价格权值×100</w:t>
      </w:r>
    </w:p>
    <w:p w14:paraId="1D3DD0AC">
      <w:pPr>
        <w:snapToGrid w:val="0"/>
        <w:spacing w:line="440" w:lineRule="exact"/>
        <w:ind w:firstLine="570"/>
        <w:rPr>
          <w:rFonts w:ascii="仿宋" w:hAnsi="仿宋" w:eastAsia="仿宋" w:cs="仿宋"/>
          <w:b/>
          <w:sz w:val="24"/>
          <w:szCs w:val="24"/>
        </w:rPr>
      </w:pPr>
      <w:r>
        <w:rPr>
          <w:rFonts w:hint="eastAsia" w:ascii="仿宋" w:hAnsi="仿宋" w:eastAsia="仿宋" w:cs="仿宋"/>
          <w:b/>
          <w:sz w:val="24"/>
          <w:szCs w:val="24"/>
        </w:rPr>
        <w:t>七、中标人的确定</w:t>
      </w:r>
    </w:p>
    <w:p w14:paraId="06BD6DEA">
      <w:pPr>
        <w:snapToGrid w:val="0"/>
        <w:spacing w:line="440" w:lineRule="exact"/>
        <w:ind w:firstLine="482" w:firstLineChars="200"/>
        <w:contextualSpacing/>
        <w:rPr>
          <w:rFonts w:ascii="仿宋" w:hAnsi="仿宋" w:eastAsia="仿宋" w:cs="仿宋"/>
          <w:sz w:val="24"/>
          <w:szCs w:val="24"/>
        </w:rPr>
      </w:pPr>
      <w:r>
        <w:rPr>
          <w:rFonts w:hint="eastAsia" w:ascii="仿宋" w:hAnsi="仿宋" w:eastAsia="仿宋" w:cs="仿宋"/>
          <w:b/>
          <w:sz w:val="24"/>
          <w:szCs w:val="24"/>
        </w:rPr>
        <w:t>评委对中标供应商报价总表和明细表进行审核，</w:t>
      </w:r>
      <w:r>
        <w:rPr>
          <w:rFonts w:hint="eastAsia" w:ascii="仿宋" w:hAnsi="仿宋" w:eastAsia="仿宋" w:cs="仿宋"/>
          <w:sz w:val="24"/>
          <w:szCs w:val="24"/>
        </w:rPr>
        <w:t>应审核供应商投标报价是否前后一致、大小写金额是否一致、总价金额与单价汇总金额是否一致。对过高过低报价的并作为中标供应商的，应重点审核报价明细表有否重大重复报价或漏项报价等情况，一经发现现场请中标供应商予以澄清，明显过错或不能澄清的，经超半数以上评委认定，有权取消供应商中标资格，以此类推确定中标供应商。</w:t>
      </w:r>
    </w:p>
    <w:p w14:paraId="61A74CEC">
      <w:pPr>
        <w:snapToGrid w:val="0"/>
        <w:spacing w:line="440" w:lineRule="exact"/>
        <w:ind w:firstLine="570"/>
        <w:rPr>
          <w:rFonts w:ascii="仿宋" w:hAnsi="仿宋" w:eastAsia="仿宋" w:cs="仿宋"/>
          <w:b/>
          <w:kern w:val="0"/>
          <w:sz w:val="24"/>
          <w:szCs w:val="24"/>
        </w:rPr>
      </w:pPr>
      <w:r>
        <w:rPr>
          <w:rFonts w:hint="eastAsia" w:ascii="仿宋" w:hAnsi="仿宋" w:eastAsia="仿宋" w:cs="仿宋"/>
          <w:b/>
          <w:kern w:val="0"/>
          <w:sz w:val="24"/>
          <w:szCs w:val="24"/>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7F686980">
      <w:pPr>
        <w:snapToGrid w:val="0"/>
        <w:spacing w:line="440" w:lineRule="exact"/>
        <w:ind w:firstLine="570"/>
        <w:rPr>
          <w:rFonts w:ascii="仿宋" w:hAnsi="仿宋" w:eastAsia="仿宋" w:cs="仿宋"/>
          <w:sz w:val="24"/>
          <w:szCs w:val="24"/>
        </w:rPr>
      </w:pPr>
      <w:r>
        <w:rPr>
          <w:rFonts w:hint="eastAsia" w:ascii="仿宋" w:hAnsi="仿宋" w:eastAsia="仿宋" w:cs="仿宋"/>
          <w:sz w:val="24"/>
          <w:szCs w:val="24"/>
        </w:rPr>
        <w:t>评委会汇总各评委评分后，推荐综合得分最高的供应商为中标供应商。如出现相同最高分，按投标报价低的推荐为中标供应商；如得分且投标报价相同的，由评委会根据技术指标优劣，优者推荐为中标供应商。评委会写出评标报告。</w:t>
      </w:r>
    </w:p>
    <w:p w14:paraId="31570BE0">
      <w:pPr>
        <w:snapToGrid w:val="0"/>
        <w:spacing w:line="440" w:lineRule="exact"/>
        <w:ind w:firstLine="570"/>
        <w:rPr>
          <w:rFonts w:ascii="仿宋" w:hAnsi="仿宋" w:eastAsia="仿宋" w:cs="仿宋"/>
          <w:sz w:val="24"/>
          <w:szCs w:val="24"/>
        </w:rPr>
      </w:pPr>
      <w:r>
        <w:rPr>
          <w:rFonts w:hint="eastAsia" w:ascii="仿宋" w:hAnsi="仿宋" w:eastAsia="仿宋" w:cs="仿宋"/>
          <w:sz w:val="24"/>
          <w:szCs w:val="24"/>
        </w:rPr>
        <w:t>招标人、采购人代表现场宣布评标结果、告知未中标原因。</w:t>
      </w:r>
    </w:p>
    <w:p w14:paraId="50F673B4">
      <w:pPr>
        <w:snapToGrid w:val="0"/>
        <w:spacing w:line="440" w:lineRule="exact"/>
        <w:ind w:firstLine="477" w:firstLineChars="198"/>
        <w:rPr>
          <w:rFonts w:ascii="仿宋" w:hAnsi="仿宋" w:eastAsia="仿宋" w:cs="仿宋"/>
          <w:b/>
          <w:sz w:val="24"/>
          <w:szCs w:val="24"/>
        </w:rPr>
      </w:pPr>
      <w:r>
        <w:rPr>
          <w:rFonts w:hint="eastAsia" w:ascii="仿宋" w:hAnsi="仿宋" w:eastAsia="仿宋" w:cs="仿宋"/>
          <w:b/>
          <w:sz w:val="24"/>
          <w:szCs w:val="24"/>
        </w:rPr>
        <w:t>八、其他注意事项</w:t>
      </w:r>
    </w:p>
    <w:p w14:paraId="3E049914">
      <w:pPr>
        <w:snapToGrid w:val="0"/>
        <w:spacing w:line="440" w:lineRule="exact"/>
        <w:ind w:firstLine="570"/>
        <w:rPr>
          <w:rFonts w:ascii="仿宋" w:hAnsi="仿宋" w:eastAsia="仿宋" w:cs="仿宋"/>
          <w:sz w:val="24"/>
          <w:szCs w:val="24"/>
        </w:rPr>
      </w:pPr>
      <w:r>
        <w:rPr>
          <w:rFonts w:hint="eastAsia" w:ascii="仿宋" w:hAnsi="仿宋" w:eastAsia="仿宋" w:cs="仿宋"/>
          <w:sz w:val="24"/>
          <w:szCs w:val="24"/>
        </w:rPr>
        <w:t>1、在投标、开标时间，供应商不得向评委询问情况，不得进行旨在影响评标结果的活动。</w:t>
      </w:r>
    </w:p>
    <w:p w14:paraId="4C59823E">
      <w:pPr>
        <w:snapToGrid w:val="0"/>
        <w:spacing w:line="440" w:lineRule="exact"/>
        <w:ind w:firstLine="570"/>
        <w:rPr>
          <w:rFonts w:ascii="仿宋" w:hAnsi="仿宋" w:eastAsia="仿宋" w:cs="仿宋"/>
          <w:sz w:val="24"/>
          <w:szCs w:val="24"/>
        </w:rPr>
      </w:pPr>
      <w:r>
        <w:rPr>
          <w:rFonts w:hint="eastAsia" w:ascii="仿宋" w:hAnsi="仿宋" w:eastAsia="仿宋" w:cs="仿宋"/>
          <w:sz w:val="24"/>
          <w:szCs w:val="24"/>
        </w:rPr>
        <w:t>2、评委会不得向供应商解释落标原因。</w:t>
      </w:r>
    </w:p>
    <w:p w14:paraId="1CF7412E">
      <w:pPr>
        <w:snapToGrid w:val="0"/>
        <w:spacing w:line="440" w:lineRule="exact"/>
        <w:ind w:firstLine="570"/>
        <w:rPr>
          <w:rFonts w:ascii="仿宋" w:hAnsi="仿宋" w:eastAsia="仿宋" w:cs="仿宋"/>
          <w:sz w:val="24"/>
          <w:szCs w:val="24"/>
        </w:rPr>
      </w:pPr>
      <w:r>
        <w:rPr>
          <w:rFonts w:hint="eastAsia" w:ascii="仿宋" w:hAnsi="仿宋" w:eastAsia="仿宋" w:cs="仿宋"/>
          <w:sz w:val="24"/>
          <w:szCs w:val="24"/>
        </w:rPr>
        <w:t>3、在投标、评标过程中，如果供应商联合故意抬高报价或出现其他不正当行为，招标人有权中止投标或评标。</w:t>
      </w:r>
    </w:p>
    <w:p w14:paraId="6314E5DE">
      <w:pPr>
        <w:snapToGrid w:val="0"/>
        <w:spacing w:line="440" w:lineRule="exact"/>
        <w:ind w:firstLine="570"/>
        <w:rPr>
          <w:rFonts w:ascii="仿宋" w:hAnsi="仿宋" w:eastAsia="仿宋" w:cs="仿宋"/>
          <w:sz w:val="24"/>
          <w:szCs w:val="24"/>
        </w:rPr>
      </w:pPr>
      <w:r>
        <w:rPr>
          <w:rFonts w:hint="eastAsia" w:ascii="仿宋" w:hAnsi="仿宋" w:eastAsia="仿宋" w:cs="仿宋"/>
          <w:sz w:val="24"/>
          <w:szCs w:val="24"/>
        </w:rPr>
        <w:t>4、凡在投标、开标过程中，招标人已提示是否异议的事项，供应商当时没有提出异议的，事后供应商不得针对上述事项提出质疑。比如：招标人在开标中提示评委是否回避，供应商现场未提出异议的，事后不得针对评委回避事项提出质疑。</w:t>
      </w:r>
    </w:p>
    <w:p w14:paraId="0C199FD7">
      <w:pPr>
        <w:snapToGrid w:val="0"/>
        <w:spacing w:line="440" w:lineRule="exact"/>
        <w:ind w:firstLine="482" w:firstLineChars="200"/>
        <w:rPr>
          <w:rFonts w:ascii="仿宋" w:hAnsi="仿宋" w:eastAsia="仿宋" w:cs="仿宋"/>
          <w:b/>
          <w:sz w:val="24"/>
          <w:szCs w:val="24"/>
        </w:rPr>
      </w:pPr>
      <w:r>
        <w:rPr>
          <w:rFonts w:hint="eastAsia" w:ascii="仿宋" w:hAnsi="仿宋" w:eastAsia="仿宋" w:cs="仿宋"/>
          <w:b/>
          <w:sz w:val="24"/>
          <w:szCs w:val="24"/>
        </w:rPr>
        <w:t>九、中标通知</w:t>
      </w:r>
    </w:p>
    <w:p w14:paraId="69FEFCA8">
      <w:pPr>
        <w:snapToGrid w:val="0"/>
        <w:spacing w:line="440" w:lineRule="exact"/>
        <w:ind w:firstLine="570"/>
        <w:rPr>
          <w:rFonts w:ascii="仿宋" w:hAnsi="仿宋" w:eastAsia="仿宋" w:cs="仿宋"/>
          <w:w w:val="80"/>
          <w:sz w:val="24"/>
          <w:szCs w:val="24"/>
        </w:rPr>
      </w:pPr>
      <w:r>
        <w:rPr>
          <w:rFonts w:hint="eastAsia" w:ascii="仿宋" w:hAnsi="仿宋" w:eastAsia="仿宋" w:cs="仿宋"/>
          <w:sz w:val="24"/>
          <w:szCs w:val="24"/>
        </w:rPr>
        <w:t>中标公告期限为1个工作日。《中标通知书》一经发出，如采购单位改变中标结果，或者中标供应商放弃中标的，各自承担相应的法律责任。《中标通知书》是采购合同的组成部分。</w:t>
      </w:r>
    </w:p>
    <w:p w14:paraId="15977FEC">
      <w:pPr>
        <w:pStyle w:val="4"/>
        <w:keepNext w:val="0"/>
        <w:keepLines w:val="0"/>
        <w:numPr>
          <w:ilvl w:val="0"/>
          <w:numId w:val="0"/>
        </w:numPr>
        <w:snapToGrid w:val="0"/>
        <w:spacing w:before="0" w:after="0" w:line="440" w:lineRule="exact"/>
        <w:jc w:val="center"/>
        <w:rPr>
          <w:rFonts w:ascii="仿宋" w:hAnsi="仿宋" w:eastAsia="仿宋" w:cs="仿宋"/>
          <w:w w:val="80"/>
          <w:sz w:val="24"/>
          <w:szCs w:val="24"/>
        </w:rPr>
      </w:pPr>
    </w:p>
    <w:p w14:paraId="716C2ABB">
      <w:pPr>
        <w:snapToGrid w:val="0"/>
        <w:spacing w:line="440" w:lineRule="exact"/>
        <w:jc w:val="center"/>
        <w:rPr>
          <w:rFonts w:ascii="仿宋" w:hAnsi="仿宋" w:eastAsia="仿宋" w:cs="仿宋"/>
          <w:sz w:val="36"/>
          <w:szCs w:val="36"/>
        </w:rPr>
      </w:pPr>
      <w:r>
        <w:rPr>
          <w:rFonts w:hint="eastAsia" w:ascii="仿宋" w:hAnsi="仿宋" w:eastAsia="仿宋" w:cs="仿宋"/>
          <w:b/>
          <w:bCs/>
          <w:i/>
          <w:iCs/>
          <w:kern w:val="44"/>
          <w:sz w:val="24"/>
          <w:szCs w:val="24"/>
        </w:rPr>
        <w:br w:type="page"/>
      </w:r>
      <w:r>
        <w:rPr>
          <w:rFonts w:hint="eastAsia" w:ascii="仿宋" w:hAnsi="仿宋" w:eastAsia="仿宋" w:cs="仿宋"/>
          <w:b/>
          <w:bCs/>
          <w:kern w:val="44"/>
          <w:sz w:val="36"/>
          <w:szCs w:val="36"/>
        </w:rPr>
        <w:t>第五章 质疑提出和处理</w:t>
      </w:r>
    </w:p>
    <w:p w14:paraId="167125CC">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一、质疑的提出</w:t>
      </w:r>
    </w:p>
    <w:p w14:paraId="66574172">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1、质疑人必须是直接参加本次磋商活动的当事人。</w:t>
      </w:r>
    </w:p>
    <w:p w14:paraId="2FDF04D8">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下载磋商文件的供应商应根据第二章“磋商供应商须知”中的约定提出；响应文件接收截止后，供应商未进行磋商登记的，不能就响应文件接收截止后的招投标过程、成交结果提出质疑；在磋商过程中，凡主持人或评估小组明确提出须由供应商确认的事项，供应商当场无异议的，事后不得提出质疑。</w:t>
      </w:r>
    </w:p>
    <w:p w14:paraId="36D9673E">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3、提出质疑时，必须坚持“谁主张，谁举证”、“实事求是”的原则，不能臆测。属于须由法定部门调查、侦查或先行作出相关认定的事项，质疑人应当依法申请具有法定职权的部门查清、认定，并将相关结果提供给采购单位或采购代理机构。采购单位或采购代理机构不具有法定调查、认定权限。</w:t>
      </w:r>
    </w:p>
    <w:p w14:paraId="5DCDD6B0">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4、对本次招标有质疑的，实行实名制，不得进行虚假、恶意质疑。质疑人应在质疑有效期内以书面形式提出《质疑函》（格式自拟），《质疑函》内容应包括质疑事项、主要内容、事实依据、适应法规条款、佐证材料等。同时，质疑人应保证其提出的质疑内容及相关佐证材料的真实性及来源的合法性，并承担相应的法律责任。</w:t>
      </w:r>
    </w:p>
    <w:p w14:paraId="7A2E9654">
      <w:pPr>
        <w:adjustRightInd w:val="0"/>
        <w:snapToGrid w:val="0"/>
        <w:spacing w:line="440" w:lineRule="exact"/>
        <w:ind w:firstLine="600" w:firstLineChars="250"/>
        <w:rPr>
          <w:rFonts w:ascii="仿宋" w:hAnsi="仿宋" w:eastAsia="仿宋" w:cs="仿宋"/>
          <w:sz w:val="24"/>
          <w:szCs w:val="24"/>
        </w:rPr>
      </w:pPr>
      <w:r>
        <w:rPr>
          <w:rFonts w:hint="eastAsia" w:ascii="仿宋" w:hAnsi="仿宋" w:eastAsia="仿宋" w:cs="仿宋"/>
          <w:sz w:val="24"/>
          <w:szCs w:val="24"/>
        </w:rPr>
        <w:t>对不能提供相关佐证材料的、涉及商业秘密的、非书面形式的、非送达的、匿名的《质疑函》将不予受理。</w:t>
      </w:r>
    </w:p>
    <w:p w14:paraId="1A8FD81A">
      <w:pPr>
        <w:adjustRightInd w:val="0"/>
        <w:snapToGrid w:val="0"/>
        <w:spacing w:line="440" w:lineRule="exact"/>
        <w:ind w:firstLine="600" w:firstLineChars="250"/>
        <w:rPr>
          <w:rFonts w:ascii="仿宋" w:hAnsi="仿宋" w:eastAsia="仿宋" w:cs="仿宋"/>
          <w:sz w:val="24"/>
          <w:szCs w:val="24"/>
        </w:rPr>
      </w:pPr>
      <w:r>
        <w:rPr>
          <w:rFonts w:hint="eastAsia" w:ascii="仿宋" w:hAnsi="仿宋" w:eastAsia="仿宋" w:cs="仿宋"/>
          <w:sz w:val="24"/>
          <w:szCs w:val="24"/>
        </w:rPr>
        <w:t>相关佐证材料要具备客观性、关联性、合法性，无法查实的（如宣传册、媒体报道、猜测、推理等）不能作为佐证材料。</w:t>
      </w:r>
    </w:p>
    <w:p w14:paraId="5248A644">
      <w:pPr>
        <w:adjustRightInd w:val="0"/>
        <w:snapToGrid w:val="0"/>
        <w:spacing w:line="440" w:lineRule="exact"/>
        <w:ind w:firstLine="600" w:firstLineChars="250"/>
        <w:rPr>
          <w:rFonts w:ascii="仿宋" w:hAnsi="仿宋" w:eastAsia="仿宋" w:cs="仿宋"/>
          <w:sz w:val="24"/>
          <w:szCs w:val="24"/>
        </w:rPr>
      </w:pPr>
      <w:r>
        <w:rPr>
          <w:rFonts w:hint="eastAsia" w:ascii="仿宋" w:hAnsi="仿宋" w:eastAsia="仿宋" w:cs="仿宋"/>
          <w:sz w:val="24"/>
          <w:szCs w:val="24"/>
        </w:rPr>
        <w:t>采购单位或采购代理机构不负责搜集相关佐证材料等工作。</w:t>
      </w:r>
    </w:p>
    <w:p w14:paraId="4FFD0F52">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二、《质疑函》的受理和回复</w:t>
      </w:r>
    </w:p>
    <w:p w14:paraId="0A3237C5">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1、《质疑函》须由质疑人的法定代表人或参加本次磋商被授权人送达采购单位和采购代理机构。</w:t>
      </w:r>
    </w:p>
    <w:p w14:paraId="19E1DCE8">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对符合提出质疑要求的，采购单位、采购代理机构签收并出具《质疑受理通知书》。在处理过程中，发现需要质疑人进一步补充相关佐证材料的，请质疑人在规定的时间内提供，质疑回复时间相应顺延。质疑人不能按时提供相关佐证材料的，视同放弃质疑。</w:t>
      </w:r>
    </w:p>
    <w:p w14:paraId="6C5B9E2B">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3、对不符合提出质疑要求的，出具《质疑退回通知书》并提出相关补充材料要求，质疑人未在规定的时间内提供补充佐证材料的，视同放弃质疑。</w:t>
      </w:r>
    </w:p>
    <w:p w14:paraId="38F9E5E8">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4、采购单位、采购代理机构负责将质疑人提出的质疑相关材料提供给相关专家或评估小组审核，并将审核意见回复质疑人。</w:t>
      </w:r>
    </w:p>
    <w:p w14:paraId="1D7FEA15">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706ECAF9">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5、因质疑情况复杂，组织论证或审查时间较长的，采购单位、采购代理机构以书面形式通知质疑人，可适当延长质疑回复处理时间。</w:t>
      </w:r>
    </w:p>
    <w:p w14:paraId="6CD8A0AD">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三、质疑处理</w:t>
      </w:r>
    </w:p>
    <w:p w14:paraId="75980D51">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1、质疑成立的处理。采购单位或采购代理机构终止采购，并建议有关部门给相关当事人予以处理。</w:t>
      </w:r>
    </w:p>
    <w:p w14:paraId="5ED9BA05">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2、质疑不成立的处理。</w:t>
      </w:r>
    </w:p>
    <w:p w14:paraId="5CC7963C">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1）质疑人书面《申请撤回质疑函》的，不作违约处理。</w:t>
      </w:r>
    </w:p>
    <w:p w14:paraId="1F5E935F">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2）质疑人在规定的时间内不配合进行质疑调查处理的，按自动撤回《质疑函》处理。</w:t>
      </w:r>
    </w:p>
    <w:p w14:paraId="36648A9C">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3）质疑人不按《质疑函》格式就提出质疑的，作违约处理。同时，视情列入不良供应商名单。</w:t>
      </w:r>
    </w:p>
    <w:p w14:paraId="7F8C2605">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4）质疑人虽提供了相关佐证材料，但不能证明其质疑成立的，采购单位或采购代理机构请质疑人补充相关佐证材料，仍不能证明其质疑成立的，作违约处理。并将其列入不良供应商名单。</w:t>
      </w:r>
    </w:p>
    <w:p w14:paraId="15435D99">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5）质疑人不能提供相关佐证材料的，采购单位、采购代理机构已指出，质疑人仍然坚持提出质疑的，作违约处理。同时，列入不良供应商名单。</w:t>
      </w:r>
    </w:p>
    <w:p w14:paraId="1E1EFB0C">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6）对明显有违事实的、经相关专家或评审小组认定无依据的、经其他供应商举证无依据的质疑，作违约处理，列入不良供应商名单；同时，对其中每一项不成立的质疑给予质疑人1年内禁入本区域内的政府采购活动的违约处理，依次类推；视情在南通公共资源交易平台、省、国家级相关媒体予以披露。</w:t>
      </w:r>
    </w:p>
    <w:p w14:paraId="27434F35">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7）质疑人承担使用虚假材料或恶意方式质疑的法律责任。</w:t>
      </w:r>
    </w:p>
    <w:p w14:paraId="54106AAD">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四、无佐证材料的举报作违约处理。供应商不得进行不提供相关佐证材料（含无法查实的如宣传册、媒体报道、猜测、推理等）向有关部门的举报，否则作违约处理。同时对其在1至3年内禁入由采购单位组织的政府采购活动的违约处理。</w:t>
      </w:r>
    </w:p>
    <w:p w14:paraId="67A26F0E">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五、投诉不成立的作违约处理。供应商进行质疑后，采购单位回复质疑不成立，供应商仍进行投诉的，并最终投诉不成立的，作违约处理。采购单位有权对其在1至3年内禁入由采购单位组织的政府采购活动的违约处理。</w:t>
      </w:r>
    </w:p>
    <w:p w14:paraId="149CFC17">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六、《质疑函》、《质疑回复函》，质疑、举报、投诉不成立的等相关情况，视情在南通公共资源交易平台、省、国家级等相关媒体予以披露。并建议相关政府采购机构对该供应商同步实施1至3年内禁入。</w:t>
      </w:r>
    </w:p>
    <w:p w14:paraId="618D43F8">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七、质疑供应商对采购单位或代理机构的答复不满意或者采购单位或代理机构未在规定的时间内作出答复的，可以在答复期满后15个工作日内向采购人管理部门投诉。</w:t>
      </w:r>
    </w:p>
    <w:p w14:paraId="29213AC2">
      <w:pPr>
        <w:pStyle w:val="4"/>
        <w:keepNext w:val="0"/>
        <w:keepLines w:val="0"/>
        <w:numPr>
          <w:ilvl w:val="0"/>
          <w:numId w:val="0"/>
        </w:numPr>
        <w:snapToGrid w:val="0"/>
        <w:spacing w:before="0" w:after="120" w:afterLines="50" w:line="440" w:lineRule="exact"/>
        <w:ind w:left="420"/>
        <w:jc w:val="center"/>
        <w:rPr>
          <w:rFonts w:ascii="仿宋" w:hAnsi="仿宋" w:eastAsia="仿宋" w:cs="仿宋"/>
          <w:sz w:val="36"/>
          <w:szCs w:val="36"/>
        </w:rPr>
      </w:pPr>
      <w:bookmarkStart w:id="35" w:name="_Toc363573860"/>
      <w:r>
        <w:rPr>
          <w:rFonts w:hint="eastAsia" w:ascii="仿宋" w:hAnsi="仿宋" w:eastAsia="仿宋" w:cs="仿宋"/>
          <w:w w:val="80"/>
          <w:sz w:val="24"/>
          <w:szCs w:val="24"/>
        </w:rPr>
        <w:br w:type="page"/>
      </w:r>
      <w:r>
        <w:rPr>
          <w:rFonts w:hint="eastAsia" w:ascii="仿宋" w:hAnsi="仿宋" w:eastAsia="仿宋" w:cs="仿宋"/>
          <w:w w:val="80"/>
          <w:sz w:val="36"/>
          <w:szCs w:val="36"/>
        </w:rPr>
        <w:t>第六章</w:t>
      </w:r>
      <w:r>
        <w:rPr>
          <w:rFonts w:hint="eastAsia" w:ascii="仿宋" w:hAnsi="仿宋" w:eastAsia="仿宋" w:cs="仿宋"/>
          <w:sz w:val="36"/>
          <w:szCs w:val="36"/>
        </w:rPr>
        <w:t xml:space="preserve">  </w:t>
      </w:r>
      <w:r>
        <w:rPr>
          <w:rFonts w:hint="eastAsia" w:ascii="仿宋" w:hAnsi="仿宋" w:eastAsia="仿宋" w:cs="仿宋"/>
          <w:w w:val="80"/>
          <w:sz w:val="36"/>
          <w:szCs w:val="36"/>
        </w:rPr>
        <w:t>响应文件组成及格式</w:t>
      </w:r>
      <w:bookmarkEnd w:id="35"/>
    </w:p>
    <w:p w14:paraId="05B215D8">
      <w:pPr>
        <w:widowControl/>
        <w:snapToGrid w:val="0"/>
        <w:spacing w:line="440" w:lineRule="exact"/>
        <w:ind w:firstLine="472" w:firstLineChars="196"/>
        <w:jc w:val="left"/>
        <w:rPr>
          <w:rFonts w:ascii="仿宋" w:hAnsi="仿宋" w:eastAsia="仿宋" w:cs="仿宋"/>
          <w:b/>
          <w:bCs/>
          <w:sz w:val="24"/>
          <w:szCs w:val="24"/>
        </w:rPr>
      </w:pPr>
      <w:r>
        <w:rPr>
          <w:rFonts w:hint="eastAsia" w:ascii="仿宋" w:hAnsi="仿宋" w:eastAsia="仿宋" w:cs="仿宋"/>
          <w:b/>
          <w:bCs/>
          <w:sz w:val="24"/>
          <w:szCs w:val="24"/>
        </w:rPr>
        <w:t>响应文件由资格审查文件、技术响应文件、商务报价响应文件三部分组成。本次竞争性磋商采用资格后审方式，供应商须将资格审查文件作为响应文件组成部分，按磋商文件要求装订密封后一起递交。</w:t>
      </w:r>
    </w:p>
    <w:p w14:paraId="4396BA4B">
      <w:pPr>
        <w:widowControl/>
        <w:snapToGrid w:val="0"/>
        <w:spacing w:line="440" w:lineRule="exact"/>
        <w:ind w:firstLine="472" w:firstLineChars="196"/>
        <w:jc w:val="left"/>
        <w:rPr>
          <w:rFonts w:ascii="仿宋" w:hAnsi="仿宋" w:eastAsia="仿宋" w:cs="仿宋"/>
          <w:b/>
          <w:bCs/>
          <w:sz w:val="24"/>
          <w:szCs w:val="24"/>
        </w:rPr>
      </w:pPr>
      <w:r>
        <w:rPr>
          <w:rFonts w:hint="eastAsia" w:ascii="仿宋" w:hAnsi="仿宋" w:eastAsia="仿宋" w:cs="仿宋"/>
          <w:b/>
          <w:bCs/>
          <w:sz w:val="24"/>
          <w:szCs w:val="24"/>
        </w:rPr>
        <w:t>一、资格审查文件</w:t>
      </w:r>
      <w:r>
        <w:rPr>
          <w:rFonts w:hint="eastAsia" w:ascii="仿宋" w:hAnsi="仿宋" w:eastAsia="仿宋" w:cs="仿宋"/>
          <w:b/>
          <w:bCs/>
          <w:sz w:val="24"/>
          <w:szCs w:val="24"/>
          <w:lang w:val="zh-CN"/>
        </w:rPr>
        <w:t>（</w:t>
      </w:r>
      <w:r>
        <w:rPr>
          <w:rFonts w:hint="eastAsia" w:ascii="仿宋" w:hAnsi="仿宋" w:eastAsia="仿宋" w:cs="仿宋"/>
          <w:b/>
          <w:bCs/>
          <w:sz w:val="24"/>
          <w:szCs w:val="24"/>
        </w:rPr>
        <w:t>单独密封</w:t>
      </w:r>
      <w:r>
        <w:rPr>
          <w:rFonts w:hint="eastAsia" w:ascii="仿宋" w:hAnsi="仿宋" w:eastAsia="仿宋" w:cs="仿宋"/>
          <w:b/>
          <w:bCs/>
          <w:sz w:val="24"/>
          <w:szCs w:val="24"/>
          <w:lang w:val="zh-CN"/>
        </w:rPr>
        <w:t>）</w:t>
      </w:r>
    </w:p>
    <w:p w14:paraId="1B085952">
      <w:pPr>
        <w:widowControl/>
        <w:snapToGrid w:val="0"/>
        <w:spacing w:line="440" w:lineRule="exact"/>
        <w:ind w:firstLine="470" w:firstLineChars="196"/>
        <w:jc w:val="left"/>
        <w:rPr>
          <w:rFonts w:ascii="仿宋" w:hAnsi="仿宋" w:eastAsia="仿宋" w:cs="仿宋"/>
          <w:sz w:val="24"/>
          <w:szCs w:val="24"/>
        </w:rPr>
      </w:pPr>
      <w:r>
        <w:rPr>
          <w:rFonts w:hint="eastAsia" w:ascii="仿宋" w:hAnsi="仿宋" w:eastAsia="仿宋" w:cs="仿宋"/>
          <w:sz w:val="24"/>
          <w:szCs w:val="24"/>
        </w:rPr>
        <w:t>1、投标供应商需提供有效的法人或者其他组织的营业执照等证明文件的复印件。</w:t>
      </w:r>
    </w:p>
    <w:p w14:paraId="2BA65887">
      <w:pPr>
        <w:widowControl/>
        <w:snapToGrid w:val="0"/>
        <w:spacing w:line="440" w:lineRule="exact"/>
        <w:ind w:firstLine="470" w:firstLineChars="196"/>
        <w:jc w:val="left"/>
        <w:rPr>
          <w:rFonts w:ascii="仿宋" w:hAnsi="仿宋" w:eastAsia="仿宋" w:cs="仿宋"/>
          <w:sz w:val="24"/>
          <w:szCs w:val="24"/>
        </w:rPr>
      </w:pPr>
      <w:r>
        <w:rPr>
          <w:rFonts w:hint="eastAsia" w:ascii="仿宋" w:hAnsi="仿宋" w:eastAsia="仿宋" w:cs="仿宋"/>
          <w:sz w:val="24"/>
          <w:szCs w:val="24"/>
        </w:rPr>
        <w:t>2、供应商法定代表人参加磋商的，必须提供法定代表人身份证明及法定代表人本人身份证复印件；非法定代表人参加磋商的，必须提供法定代表人签字或盖章的授权委托书及法定代表人、被授权人的两人身份证的复印件。（格式参见第六章）</w:t>
      </w:r>
    </w:p>
    <w:p w14:paraId="604F14E1">
      <w:pPr>
        <w:widowControl/>
        <w:snapToGrid w:val="0"/>
        <w:spacing w:line="440" w:lineRule="exact"/>
        <w:ind w:firstLine="470" w:firstLineChars="196"/>
        <w:jc w:val="left"/>
        <w:rPr>
          <w:rFonts w:ascii="仿宋" w:hAnsi="仿宋" w:eastAsia="仿宋" w:cs="仿宋"/>
          <w:sz w:val="24"/>
          <w:szCs w:val="24"/>
        </w:rPr>
      </w:pPr>
      <w:r>
        <w:rPr>
          <w:rFonts w:hint="eastAsia" w:ascii="仿宋" w:hAnsi="仿宋" w:eastAsia="仿宋" w:cs="仿宋"/>
          <w:sz w:val="24"/>
          <w:szCs w:val="24"/>
        </w:rPr>
        <w:t>3、供应商符合招标文件第一章中供应商的资格要求规定条件的承诺函（格式参见第六章）。</w:t>
      </w:r>
    </w:p>
    <w:p w14:paraId="38E66B52">
      <w:pPr>
        <w:widowControl/>
        <w:snapToGrid w:val="0"/>
        <w:spacing w:line="440" w:lineRule="exact"/>
        <w:ind w:firstLine="470" w:firstLineChars="196"/>
        <w:jc w:val="left"/>
        <w:rPr>
          <w:rFonts w:ascii="仿宋" w:hAnsi="仿宋" w:eastAsia="仿宋" w:cs="仿宋"/>
          <w:sz w:val="24"/>
          <w:szCs w:val="24"/>
        </w:rPr>
      </w:pPr>
      <w:r>
        <w:rPr>
          <w:rFonts w:hint="eastAsia" w:ascii="仿宋" w:hAnsi="仿宋" w:eastAsia="仿宋" w:cs="仿宋"/>
          <w:sz w:val="24"/>
          <w:szCs w:val="24"/>
        </w:rPr>
        <w:t>4、供应商须提供参与本次项目政府采购活动前三年内，在经营活动中没有重大违法记录的书面《无重大违法记录声明函》（格式参见第六章）。</w:t>
      </w:r>
    </w:p>
    <w:p w14:paraId="7F40C0A9">
      <w:pPr>
        <w:widowControl/>
        <w:snapToGrid w:val="0"/>
        <w:spacing w:line="440" w:lineRule="exact"/>
        <w:ind w:firstLine="470" w:firstLineChars="196"/>
        <w:jc w:val="left"/>
        <w:rPr>
          <w:rFonts w:hint="eastAsia" w:ascii="仿宋" w:hAnsi="仿宋" w:eastAsia="仿宋" w:cs="仿宋"/>
          <w:sz w:val="24"/>
          <w:szCs w:val="24"/>
        </w:rPr>
      </w:pPr>
      <w:r>
        <w:rPr>
          <w:rFonts w:hint="eastAsia" w:ascii="仿宋" w:hAnsi="仿宋" w:eastAsia="仿宋" w:cs="仿宋"/>
          <w:sz w:val="24"/>
          <w:szCs w:val="24"/>
        </w:rPr>
        <w:t>5、关于资格文件的声明函（格式参见第六章）。</w:t>
      </w:r>
    </w:p>
    <w:p w14:paraId="2C6744B3">
      <w:pPr>
        <w:widowControl/>
        <w:snapToGrid w:val="0"/>
        <w:spacing w:line="440" w:lineRule="exact"/>
        <w:ind w:firstLine="470" w:firstLineChars="196"/>
        <w:jc w:val="left"/>
        <w:rPr>
          <w:rFonts w:hint="eastAsia" w:ascii="仿宋" w:hAnsi="仿宋" w:eastAsia="仿宋" w:cs="仿宋"/>
          <w:sz w:val="24"/>
          <w:szCs w:val="24"/>
        </w:rPr>
      </w:pPr>
      <w:r>
        <w:rPr>
          <w:rFonts w:hint="eastAsia" w:ascii="仿宋" w:hAnsi="仿宋" w:eastAsia="仿宋" w:cs="仿宋"/>
          <w:sz w:val="24"/>
          <w:szCs w:val="24"/>
        </w:rPr>
        <w:t>6、提供项目负责人园林绿化等相关专业职称证书复印件和身份证复印件及2025年以来任意一个月社保缴纳记录。</w:t>
      </w:r>
    </w:p>
    <w:p w14:paraId="01442557">
      <w:pPr>
        <w:widowControl/>
        <w:snapToGrid w:val="0"/>
        <w:spacing w:line="440" w:lineRule="exact"/>
        <w:ind w:firstLine="470" w:firstLineChars="196"/>
        <w:jc w:val="left"/>
        <w:rPr>
          <w:rFonts w:ascii="仿宋" w:hAnsi="仿宋" w:eastAsia="仿宋" w:cs="仿宋"/>
          <w:sz w:val="24"/>
          <w:szCs w:val="24"/>
        </w:rPr>
      </w:pPr>
      <w:r>
        <w:rPr>
          <w:rFonts w:ascii="仿宋" w:hAnsi="仿宋" w:eastAsia="仿宋" w:cs="仿宋"/>
          <w:sz w:val="24"/>
          <w:szCs w:val="24"/>
        </w:rPr>
        <w:t>7</w:t>
      </w:r>
      <w:r>
        <w:rPr>
          <w:rFonts w:hint="eastAsia" w:ascii="仿宋" w:hAnsi="仿宋" w:eastAsia="仿宋" w:cs="仿宋"/>
          <w:sz w:val="24"/>
          <w:szCs w:val="24"/>
        </w:rPr>
        <w:t>、其他需要提交的资格审查证明材料（以下满足其一即可）：</w:t>
      </w:r>
    </w:p>
    <w:p w14:paraId="48A72353">
      <w:pPr>
        <w:widowControl/>
        <w:snapToGrid w:val="0"/>
        <w:spacing w:line="440" w:lineRule="exact"/>
        <w:ind w:firstLine="470" w:firstLineChars="196"/>
        <w:jc w:val="left"/>
        <w:rPr>
          <w:rFonts w:ascii="仿宋" w:hAnsi="仿宋" w:eastAsia="仿宋" w:cs="仿宋"/>
          <w:sz w:val="24"/>
          <w:szCs w:val="24"/>
        </w:rPr>
      </w:pPr>
      <w:r>
        <w:rPr>
          <w:rFonts w:ascii="仿宋" w:hAnsi="仿宋" w:eastAsia="仿宋" w:cs="仿宋"/>
          <w:sz w:val="24"/>
          <w:szCs w:val="24"/>
        </w:rPr>
        <w:t>7</w:t>
      </w:r>
      <w:r>
        <w:rPr>
          <w:rFonts w:hint="eastAsia" w:ascii="仿宋" w:hAnsi="仿宋" w:eastAsia="仿宋" w:cs="仿宋"/>
          <w:sz w:val="24"/>
          <w:szCs w:val="24"/>
        </w:rPr>
        <w:t>.1中小企业声明函（格式参见第六章）</w:t>
      </w:r>
    </w:p>
    <w:p w14:paraId="6DDCD69A">
      <w:pPr>
        <w:widowControl/>
        <w:snapToGrid w:val="0"/>
        <w:spacing w:line="440" w:lineRule="exact"/>
        <w:ind w:firstLine="470" w:firstLineChars="196"/>
        <w:jc w:val="left"/>
        <w:rPr>
          <w:rFonts w:ascii="仿宋" w:hAnsi="仿宋" w:eastAsia="仿宋" w:cs="仿宋"/>
          <w:sz w:val="24"/>
          <w:szCs w:val="24"/>
        </w:rPr>
      </w:pPr>
      <w:r>
        <w:rPr>
          <w:rFonts w:ascii="仿宋" w:hAnsi="仿宋" w:eastAsia="仿宋" w:cs="仿宋"/>
          <w:sz w:val="24"/>
          <w:szCs w:val="24"/>
        </w:rPr>
        <w:t>7</w:t>
      </w:r>
      <w:r>
        <w:rPr>
          <w:rFonts w:hint="eastAsia" w:ascii="仿宋" w:hAnsi="仿宋" w:eastAsia="仿宋" w:cs="仿宋"/>
          <w:sz w:val="24"/>
          <w:szCs w:val="24"/>
        </w:rPr>
        <w:t>.2残疾人福利性单位声明函（格式参见第六章）</w:t>
      </w:r>
    </w:p>
    <w:p w14:paraId="26364585">
      <w:pPr>
        <w:widowControl/>
        <w:snapToGrid w:val="0"/>
        <w:spacing w:line="440" w:lineRule="exact"/>
        <w:ind w:firstLine="470" w:firstLineChars="196"/>
        <w:jc w:val="left"/>
        <w:rPr>
          <w:rFonts w:ascii="仿宋" w:hAnsi="仿宋" w:eastAsia="仿宋" w:cs="仿宋"/>
          <w:sz w:val="24"/>
          <w:szCs w:val="24"/>
        </w:rPr>
      </w:pPr>
      <w:r>
        <w:rPr>
          <w:rFonts w:ascii="仿宋" w:hAnsi="仿宋" w:eastAsia="仿宋" w:cs="仿宋"/>
          <w:sz w:val="24"/>
          <w:szCs w:val="24"/>
        </w:rPr>
        <w:t>7</w:t>
      </w:r>
      <w:r>
        <w:rPr>
          <w:rFonts w:hint="eastAsia" w:ascii="仿宋" w:hAnsi="仿宋" w:eastAsia="仿宋" w:cs="仿宋"/>
          <w:sz w:val="24"/>
          <w:szCs w:val="24"/>
        </w:rPr>
        <w:t>.3监狱和戒毒企业证明材料（格式参见第六章）</w:t>
      </w:r>
    </w:p>
    <w:p w14:paraId="4DA14E1B">
      <w:pPr>
        <w:widowControl/>
        <w:snapToGrid w:val="0"/>
        <w:spacing w:line="440" w:lineRule="exact"/>
        <w:ind w:firstLine="470" w:firstLineChars="196"/>
        <w:jc w:val="left"/>
        <w:rPr>
          <w:rFonts w:ascii="仿宋" w:hAnsi="仿宋" w:eastAsia="仿宋" w:cs="仿宋"/>
          <w:sz w:val="24"/>
          <w:szCs w:val="24"/>
        </w:rPr>
      </w:pPr>
      <w:r>
        <w:rPr>
          <w:rFonts w:hint="eastAsia" w:ascii="仿宋" w:hAnsi="仿宋" w:eastAsia="仿宋" w:cs="仿宋"/>
          <w:sz w:val="24"/>
          <w:szCs w:val="24"/>
        </w:rPr>
        <w:t>注：以上材料如为复印件均需加盖单位公章。</w:t>
      </w:r>
    </w:p>
    <w:p w14:paraId="14BB2A3E">
      <w:pPr>
        <w:widowControl/>
        <w:snapToGrid w:val="0"/>
        <w:spacing w:line="440" w:lineRule="exact"/>
        <w:ind w:firstLine="472" w:firstLineChars="196"/>
        <w:jc w:val="left"/>
        <w:rPr>
          <w:rFonts w:ascii="仿宋" w:hAnsi="仿宋" w:eastAsia="仿宋" w:cs="仿宋"/>
          <w:b/>
          <w:bCs/>
          <w:sz w:val="24"/>
          <w:szCs w:val="24"/>
        </w:rPr>
      </w:pPr>
      <w:r>
        <w:rPr>
          <w:rFonts w:hint="eastAsia" w:ascii="仿宋" w:hAnsi="仿宋" w:eastAsia="仿宋" w:cs="仿宋"/>
          <w:b/>
          <w:bCs/>
          <w:sz w:val="24"/>
          <w:szCs w:val="24"/>
        </w:rPr>
        <w:t>二、商务技术响应文件（单独密封）</w:t>
      </w:r>
    </w:p>
    <w:p w14:paraId="00BFF530">
      <w:pPr>
        <w:widowControl/>
        <w:snapToGrid w:val="0"/>
        <w:spacing w:line="440" w:lineRule="exact"/>
        <w:ind w:firstLine="470" w:firstLineChars="196"/>
        <w:jc w:val="left"/>
        <w:rPr>
          <w:rFonts w:ascii="仿宋" w:hAnsi="仿宋" w:eastAsia="仿宋" w:cs="仿宋"/>
          <w:sz w:val="24"/>
          <w:szCs w:val="24"/>
        </w:rPr>
      </w:pPr>
      <w:r>
        <w:rPr>
          <w:rFonts w:hint="eastAsia" w:ascii="仿宋" w:hAnsi="仿宋" w:eastAsia="仿宋" w:cs="仿宋"/>
          <w:sz w:val="24"/>
          <w:szCs w:val="24"/>
        </w:rPr>
        <w:t>1、竞争性磋商响应函（格式参见第六章）；</w:t>
      </w:r>
    </w:p>
    <w:p w14:paraId="7A445E02">
      <w:pPr>
        <w:widowControl/>
        <w:snapToGrid w:val="0"/>
        <w:spacing w:line="440" w:lineRule="exact"/>
        <w:ind w:firstLine="470" w:firstLineChars="196"/>
        <w:jc w:val="left"/>
        <w:rPr>
          <w:rFonts w:ascii="仿宋" w:hAnsi="仿宋" w:eastAsia="仿宋" w:cs="仿宋"/>
          <w:b/>
          <w:bCs/>
          <w:sz w:val="24"/>
          <w:szCs w:val="24"/>
        </w:rPr>
      </w:pPr>
      <w:r>
        <w:rPr>
          <w:rFonts w:hint="eastAsia" w:ascii="仿宋" w:hAnsi="仿宋" w:eastAsia="仿宋" w:cs="仿宋"/>
          <w:sz w:val="24"/>
          <w:szCs w:val="24"/>
        </w:rPr>
        <w:t>2</w:t>
      </w:r>
      <w:r>
        <w:rPr>
          <w:rFonts w:hint="eastAsia" w:ascii="仿宋" w:hAnsi="仿宋" w:eastAsia="仿宋" w:cs="仿宋"/>
          <w:b/>
          <w:bCs/>
          <w:sz w:val="24"/>
          <w:szCs w:val="24"/>
        </w:rPr>
        <w:t>、评标办法中所涉及的事项需提供的所有资料；</w:t>
      </w:r>
    </w:p>
    <w:p w14:paraId="62077533">
      <w:pPr>
        <w:widowControl/>
        <w:snapToGrid w:val="0"/>
        <w:spacing w:line="440" w:lineRule="exact"/>
        <w:ind w:firstLine="470" w:firstLineChars="196"/>
        <w:jc w:val="left"/>
        <w:rPr>
          <w:rFonts w:ascii="仿宋" w:hAnsi="仿宋" w:eastAsia="仿宋" w:cs="仿宋"/>
          <w:sz w:val="24"/>
          <w:szCs w:val="24"/>
        </w:rPr>
      </w:pPr>
      <w:r>
        <w:rPr>
          <w:rFonts w:hint="eastAsia" w:ascii="仿宋" w:hAnsi="仿宋" w:eastAsia="仿宋" w:cs="仿宋"/>
          <w:sz w:val="24"/>
          <w:szCs w:val="24"/>
        </w:rPr>
        <w:t>3、采购文件要求递交的其他材料；</w:t>
      </w:r>
    </w:p>
    <w:p w14:paraId="6B05CA73">
      <w:pPr>
        <w:widowControl/>
        <w:snapToGrid w:val="0"/>
        <w:spacing w:line="440" w:lineRule="exact"/>
        <w:ind w:firstLine="470" w:firstLineChars="196"/>
        <w:jc w:val="left"/>
        <w:rPr>
          <w:rFonts w:ascii="仿宋" w:hAnsi="仿宋" w:eastAsia="仿宋" w:cs="仿宋"/>
          <w:sz w:val="24"/>
          <w:szCs w:val="24"/>
        </w:rPr>
      </w:pPr>
      <w:r>
        <w:rPr>
          <w:rFonts w:hint="eastAsia" w:ascii="仿宋" w:hAnsi="仿宋" w:eastAsia="仿宋" w:cs="仿宋"/>
          <w:sz w:val="24"/>
          <w:szCs w:val="24"/>
        </w:rPr>
        <w:t>4、评标办法中未涉及的事项，供应商认为需要提交的其他资料（格式自拟）。</w:t>
      </w:r>
    </w:p>
    <w:p w14:paraId="6016DAD7">
      <w:pPr>
        <w:widowControl/>
        <w:snapToGrid w:val="0"/>
        <w:spacing w:line="440" w:lineRule="exact"/>
        <w:ind w:firstLine="470" w:firstLineChars="196"/>
        <w:jc w:val="left"/>
        <w:rPr>
          <w:rFonts w:ascii="仿宋" w:hAnsi="仿宋" w:eastAsia="仿宋" w:cs="仿宋"/>
          <w:sz w:val="24"/>
          <w:szCs w:val="24"/>
        </w:rPr>
      </w:pPr>
      <w:r>
        <w:rPr>
          <w:rFonts w:hint="eastAsia" w:ascii="仿宋" w:hAnsi="仿宋" w:eastAsia="仿宋" w:cs="仿宋"/>
          <w:sz w:val="24"/>
          <w:szCs w:val="24"/>
        </w:rPr>
        <w:t>注：为方便评委评估，请供应商按评标办法中所涉及的事项顺序进行编制，可以补充相关材料；</w:t>
      </w:r>
    </w:p>
    <w:p w14:paraId="69C3058A">
      <w:pPr>
        <w:widowControl/>
        <w:snapToGrid w:val="0"/>
        <w:spacing w:line="440" w:lineRule="exact"/>
        <w:ind w:firstLine="472" w:firstLineChars="196"/>
        <w:rPr>
          <w:rFonts w:ascii="仿宋" w:hAnsi="仿宋" w:eastAsia="仿宋" w:cs="仿宋"/>
          <w:sz w:val="24"/>
          <w:szCs w:val="24"/>
        </w:rPr>
      </w:pPr>
      <w:r>
        <w:rPr>
          <w:rFonts w:hint="eastAsia" w:ascii="仿宋" w:hAnsi="仿宋" w:eastAsia="仿宋" w:cs="仿宋"/>
          <w:b/>
          <w:bCs/>
          <w:sz w:val="24"/>
          <w:szCs w:val="24"/>
        </w:rPr>
        <w:t>特别提醒：“资格审查文件”、“商务技术响应文件”所须提供的材料（须加盖投标人公章）按磋商文件要求装订，密封，递交。“资格审查文件”、“商务技术响应文件”所涉及相关资料等证明材料原件请带至开标现场备查。未携带原件或因携带原件不全所引起的后果由供应商自行承担。</w:t>
      </w:r>
    </w:p>
    <w:p w14:paraId="25C104F6">
      <w:pPr>
        <w:widowControl/>
        <w:snapToGrid w:val="0"/>
        <w:spacing w:line="440" w:lineRule="exact"/>
        <w:ind w:firstLine="472" w:firstLineChars="196"/>
        <w:jc w:val="left"/>
        <w:rPr>
          <w:rFonts w:ascii="仿宋" w:hAnsi="仿宋" w:eastAsia="仿宋" w:cs="仿宋"/>
          <w:b/>
          <w:bCs/>
          <w:sz w:val="24"/>
          <w:szCs w:val="24"/>
        </w:rPr>
      </w:pPr>
      <w:r>
        <w:rPr>
          <w:rFonts w:hint="eastAsia" w:ascii="仿宋" w:hAnsi="仿宋" w:eastAsia="仿宋" w:cs="仿宋"/>
          <w:b/>
          <w:bCs/>
          <w:sz w:val="24"/>
          <w:szCs w:val="24"/>
        </w:rPr>
        <w:t>三、报价响应文件（单独密封）</w:t>
      </w:r>
    </w:p>
    <w:p w14:paraId="444FCCE1">
      <w:pPr>
        <w:widowControl/>
        <w:snapToGrid w:val="0"/>
        <w:spacing w:line="440" w:lineRule="exact"/>
        <w:ind w:firstLine="470" w:firstLineChars="196"/>
        <w:jc w:val="left"/>
        <w:rPr>
          <w:rFonts w:ascii="仿宋" w:hAnsi="仿宋" w:eastAsia="仿宋" w:cs="仿宋"/>
          <w:sz w:val="24"/>
          <w:szCs w:val="24"/>
        </w:rPr>
      </w:pPr>
      <w:r>
        <w:rPr>
          <w:rFonts w:hint="eastAsia" w:ascii="仿宋" w:hAnsi="仿宋" w:eastAsia="仿宋" w:cs="仿宋"/>
          <w:sz w:val="24"/>
          <w:szCs w:val="24"/>
        </w:rPr>
        <w:t>1、磋商响应报价表。（格式参见第六章）</w:t>
      </w:r>
    </w:p>
    <w:p w14:paraId="3AA2128A">
      <w:pPr>
        <w:widowControl/>
        <w:snapToGrid w:val="0"/>
        <w:spacing w:line="440" w:lineRule="exact"/>
        <w:ind w:firstLine="470" w:firstLineChars="196"/>
        <w:jc w:val="left"/>
        <w:rPr>
          <w:rFonts w:ascii="仿宋" w:hAnsi="仿宋" w:eastAsia="仿宋" w:cs="仿宋"/>
          <w:b/>
          <w:bCs/>
          <w:sz w:val="24"/>
          <w:szCs w:val="24"/>
        </w:rPr>
      </w:pPr>
      <w:r>
        <w:rPr>
          <w:rFonts w:hint="eastAsia" w:ascii="仿宋" w:hAnsi="仿宋" w:eastAsia="仿宋" w:cs="仿宋"/>
          <w:sz w:val="24"/>
          <w:szCs w:val="24"/>
        </w:rPr>
        <w:t>2、磋商响应报价明细表。（格式参见第六章）</w:t>
      </w:r>
      <w:r>
        <w:rPr>
          <w:rFonts w:hint="eastAsia" w:ascii="仿宋" w:hAnsi="仿宋" w:eastAsia="仿宋" w:cs="仿宋"/>
          <w:b/>
          <w:bCs/>
          <w:sz w:val="24"/>
          <w:szCs w:val="24"/>
        </w:rPr>
        <w:br w:type="page"/>
      </w:r>
      <w:r>
        <w:rPr>
          <w:rFonts w:hint="eastAsia" w:ascii="仿宋" w:hAnsi="仿宋" w:eastAsia="仿宋" w:cs="仿宋"/>
          <w:b/>
          <w:bCs/>
          <w:sz w:val="24"/>
          <w:szCs w:val="24"/>
        </w:rPr>
        <w:t>附件：</w:t>
      </w:r>
    </w:p>
    <w:p w14:paraId="2008041E">
      <w:pPr>
        <w:spacing w:line="440" w:lineRule="exact"/>
        <w:jc w:val="center"/>
        <w:rPr>
          <w:rFonts w:ascii="仿宋" w:hAnsi="仿宋" w:eastAsia="仿宋" w:cs="宋体"/>
          <w:b/>
          <w:bCs/>
          <w:sz w:val="24"/>
          <w:szCs w:val="24"/>
        </w:rPr>
      </w:pPr>
      <w:r>
        <w:rPr>
          <w:rFonts w:hint="eastAsia" w:ascii="仿宋" w:hAnsi="仿宋" w:eastAsia="仿宋" w:cs="仿宋"/>
          <w:b/>
          <w:bCs/>
          <w:sz w:val="24"/>
          <w:szCs w:val="24"/>
        </w:rPr>
        <w:t>1、</w:t>
      </w:r>
      <w:r>
        <w:rPr>
          <w:rFonts w:hint="eastAsia" w:ascii="仿宋" w:hAnsi="仿宋" w:eastAsia="仿宋" w:cs="宋体"/>
          <w:b/>
          <w:bCs/>
          <w:sz w:val="24"/>
          <w:szCs w:val="24"/>
        </w:rPr>
        <w:t>法定代表人、自然人或其他组织身份证明</w:t>
      </w:r>
    </w:p>
    <w:p w14:paraId="7BB6288E">
      <w:pPr>
        <w:spacing w:line="440" w:lineRule="exact"/>
        <w:jc w:val="center"/>
        <w:rPr>
          <w:rFonts w:ascii="仿宋" w:hAnsi="仿宋" w:eastAsia="仿宋" w:cs="宋体"/>
          <w:sz w:val="24"/>
          <w:szCs w:val="24"/>
        </w:rPr>
      </w:pPr>
      <w:r>
        <w:rPr>
          <w:rFonts w:hint="eastAsia" w:ascii="仿宋" w:hAnsi="仿宋" w:eastAsia="仿宋" w:cs="宋体"/>
          <w:sz w:val="24"/>
          <w:szCs w:val="24"/>
        </w:rPr>
        <w:t>（法定代表人、自然人或其他组织参加投标，须出示此证明）</w:t>
      </w:r>
    </w:p>
    <w:p w14:paraId="49CB3E4E">
      <w:pPr>
        <w:snapToGrid w:val="0"/>
        <w:spacing w:line="440" w:lineRule="exact"/>
        <w:jc w:val="center"/>
        <w:outlineLvl w:val="3"/>
        <w:rPr>
          <w:rFonts w:ascii="仿宋" w:hAnsi="仿宋" w:eastAsia="仿宋" w:cs="仿宋"/>
          <w:sz w:val="24"/>
          <w:szCs w:val="24"/>
        </w:rPr>
      </w:pPr>
    </w:p>
    <w:p w14:paraId="11F82AB9">
      <w:pPr>
        <w:snapToGrid w:val="0"/>
        <w:spacing w:line="440" w:lineRule="exact"/>
        <w:rPr>
          <w:rFonts w:ascii="仿宋" w:hAnsi="仿宋" w:eastAsia="仿宋" w:cs="仿宋"/>
          <w:sz w:val="24"/>
          <w:szCs w:val="24"/>
          <w:u w:val="single"/>
        </w:rPr>
      </w:pPr>
      <w:r>
        <w:rPr>
          <w:rFonts w:hint="eastAsia" w:ascii="仿宋" w:hAnsi="仿宋" w:eastAsia="仿宋" w:cs="仿宋"/>
          <w:sz w:val="24"/>
          <w:szCs w:val="24"/>
          <w:u w:val="single"/>
        </w:rPr>
        <w:t xml:space="preserve">南通市养老服务指导中心： </w:t>
      </w:r>
    </w:p>
    <w:p w14:paraId="286F9C73">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我公司法定代表人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参加贵单位组织的</w:t>
      </w:r>
      <w:r>
        <w:rPr>
          <w:rFonts w:hint="eastAsia" w:ascii="仿宋" w:hAnsi="仿宋" w:eastAsia="仿宋" w:cs="仿宋"/>
          <w:sz w:val="24"/>
          <w:szCs w:val="24"/>
          <w:u w:val="single"/>
        </w:rPr>
        <w:t xml:space="preserve">     </w:t>
      </w:r>
      <w:r>
        <w:rPr>
          <w:rFonts w:hint="eastAsia" w:ascii="仿宋" w:hAnsi="仿宋" w:eastAsia="仿宋" w:cs="仿宋"/>
          <w:sz w:val="24"/>
          <w:szCs w:val="24"/>
        </w:rPr>
        <w:t>（竞争性磋商项目名称及项目编号)项目的磋商活动，全权代表我公司处理竞争性磋商的有关事宜。</w:t>
      </w:r>
    </w:p>
    <w:p w14:paraId="6BECE2BC">
      <w:pPr>
        <w:snapToGrid w:val="0"/>
        <w:spacing w:line="440" w:lineRule="exact"/>
        <w:rPr>
          <w:rFonts w:ascii="仿宋" w:hAnsi="仿宋" w:eastAsia="仿宋" w:cs="仿宋"/>
          <w:sz w:val="24"/>
          <w:szCs w:val="24"/>
        </w:rPr>
      </w:pPr>
    </w:p>
    <w:p w14:paraId="1E0E0E22">
      <w:pPr>
        <w:snapToGrid w:val="0"/>
        <w:spacing w:line="440" w:lineRule="exact"/>
        <w:rPr>
          <w:rFonts w:ascii="仿宋" w:hAnsi="仿宋" w:eastAsia="仿宋" w:cs="仿宋"/>
          <w:sz w:val="24"/>
          <w:szCs w:val="24"/>
        </w:rPr>
      </w:pPr>
      <w:r>
        <w:rPr>
          <w:rFonts w:hint="eastAsia" w:ascii="仿宋" w:hAnsi="仿宋" w:eastAsia="仿宋" w:cs="仿宋"/>
          <w:sz w:val="24"/>
          <w:szCs w:val="24"/>
        </w:rPr>
        <w:t>附：法定代表人情况：</w:t>
      </w:r>
    </w:p>
    <w:p w14:paraId="406DBF30">
      <w:pPr>
        <w:snapToGrid w:val="0"/>
        <w:spacing w:line="440" w:lineRule="exact"/>
        <w:rPr>
          <w:rFonts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年龄：</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p>
    <w:p w14:paraId="1C469AEB">
      <w:pPr>
        <w:snapToGrid w:val="0"/>
        <w:spacing w:line="440" w:lineRule="exact"/>
        <w:rPr>
          <w:rFonts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14:paraId="5B5241E5">
      <w:pPr>
        <w:snapToGrid w:val="0"/>
        <w:spacing w:line="440" w:lineRule="exact"/>
        <w:rPr>
          <w:rFonts w:ascii="仿宋" w:hAnsi="仿宋" w:eastAsia="仿宋" w:cs="仿宋"/>
          <w:sz w:val="24"/>
          <w:szCs w:val="24"/>
        </w:rPr>
      </w:pPr>
      <w:r>
        <w:rPr>
          <w:rFonts w:hint="eastAsia" w:ascii="仿宋" w:hAnsi="仿宋" w:eastAsia="仿宋" w:cs="仿宋"/>
          <w:sz w:val="24"/>
          <w:szCs w:val="24"/>
        </w:rPr>
        <w:t>手机：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传真：                      </w:t>
      </w:r>
      <w:r>
        <w:rPr>
          <w:rFonts w:hint="eastAsia" w:ascii="仿宋" w:hAnsi="仿宋" w:eastAsia="仿宋" w:cs="仿宋"/>
          <w:sz w:val="24"/>
          <w:szCs w:val="24"/>
          <w:u w:val="single"/>
        </w:rPr>
        <w:t xml:space="preserve"> </w:t>
      </w:r>
    </w:p>
    <w:p w14:paraId="2CFFCA77">
      <w:pPr>
        <w:snapToGrid w:val="0"/>
        <w:spacing w:line="440" w:lineRule="exact"/>
        <w:rPr>
          <w:rFonts w:ascii="仿宋" w:hAnsi="仿宋" w:eastAsia="仿宋" w:cs="仿宋"/>
          <w:sz w:val="24"/>
          <w:szCs w:val="24"/>
        </w:rPr>
      </w:pPr>
      <w:r>
        <w:rPr>
          <w:rFonts w:hint="eastAsia" w:ascii="宋体" w:hAnsi="宋体" w:cs="宋体"/>
          <w:sz w:val="24"/>
          <w:szCs w:val="24"/>
        </w:rPr>
        <w:t> </w:t>
      </w:r>
    </w:p>
    <w:p w14:paraId="73113545">
      <w:pPr>
        <w:snapToGrid w:val="0"/>
        <w:spacing w:line="440" w:lineRule="exact"/>
        <w:rPr>
          <w:rFonts w:ascii="仿宋" w:hAnsi="仿宋" w:eastAsia="仿宋" w:cs="仿宋"/>
          <w:sz w:val="24"/>
          <w:szCs w:val="24"/>
        </w:rPr>
      </w:pPr>
    </w:p>
    <w:p w14:paraId="640E66E3">
      <w:pPr>
        <w:snapToGrid w:val="0"/>
        <w:spacing w:line="440" w:lineRule="exact"/>
        <w:rPr>
          <w:rFonts w:ascii="仿宋" w:hAnsi="仿宋" w:eastAsia="仿宋" w:cs="仿宋"/>
          <w:sz w:val="24"/>
          <w:szCs w:val="24"/>
        </w:rPr>
      </w:pPr>
      <w:r>
        <w:rPr>
          <w:rFonts w:hint="eastAsia" w:ascii="仿宋" w:hAnsi="仿宋" w:eastAsia="仿宋" w:cs="仿宋"/>
          <w:sz w:val="24"/>
          <w:szCs w:val="24"/>
        </w:rPr>
        <w:t>单位名称（公章）                  法定代表人（签字或盖章）</w:t>
      </w:r>
    </w:p>
    <w:p w14:paraId="16916B94">
      <w:pPr>
        <w:snapToGrid w:val="0"/>
        <w:spacing w:line="440" w:lineRule="exact"/>
        <w:ind w:firstLine="1200" w:firstLineChars="500"/>
        <w:rPr>
          <w:rFonts w:ascii="仿宋" w:hAnsi="仿宋" w:eastAsia="仿宋" w:cs="仿宋"/>
          <w:sz w:val="24"/>
          <w:szCs w:val="24"/>
        </w:rPr>
      </w:pPr>
      <w:r>
        <w:rPr>
          <w:rFonts w:hint="eastAsia" w:ascii="仿宋" w:hAnsi="仿宋" w:eastAsia="仿宋" w:cs="仿宋"/>
          <w:sz w:val="24"/>
          <w:szCs w:val="24"/>
        </w:rPr>
        <w:t xml:space="preserve">年   月   日                 年   月    日  </w:t>
      </w:r>
    </w:p>
    <w:p w14:paraId="49D4A02D">
      <w:pPr>
        <w:snapToGrid w:val="0"/>
        <w:spacing w:line="440" w:lineRule="exact"/>
        <w:rPr>
          <w:rFonts w:ascii="仿宋" w:hAnsi="仿宋" w:eastAsia="仿宋" w:cs="仿宋"/>
          <w:sz w:val="24"/>
          <w:szCs w:val="24"/>
        </w:rPr>
      </w:pPr>
    </w:p>
    <w:p w14:paraId="2BE44D0C">
      <w:pPr>
        <w:snapToGrid w:val="0"/>
        <w:spacing w:line="440" w:lineRule="exact"/>
        <w:ind w:firstLine="2715" w:firstLineChars="1127"/>
        <w:rPr>
          <w:rFonts w:ascii="仿宋" w:hAnsi="仿宋" w:eastAsia="仿宋" w:cs="仿宋"/>
          <w:b/>
          <w:bCs/>
          <w:sz w:val="24"/>
          <w:szCs w:val="24"/>
        </w:rPr>
      </w:pPr>
      <w:r>
        <w:rPr>
          <w:rFonts w:hint="eastAsia" w:ascii="仿宋" w:hAnsi="仿宋" w:eastAsia="仿宋" w:cs="仿宋"/>
          <w:b/>
          <w:bCs/>
          <w:sz w:val="24"/>
          <w:szCs w:val="24"/>
        </w:rPr>
        <w:t>法定代表人身份证复印件</w:t>
      </w:r>
    </w:p>
    <w:p w14:paraId="096C3D30">
      <w:pPr>
        <w:snapToGrid w:val="0"/>
        <w:spacing w:line="440" w:lineRule="exact"/>
        <w:rPr>
          <w:rFonts w:ascii="仿宋" w:hAnsi="仿宋" w:eastAsia="仿宋" w:cs="仿宋"/>
          <w:sz w:val="24"/>
          <w:szCs w:val="24"/>
        </w:rPr>
      </w:pPr>
    </w:p>
    <w:p w14:paraId="4AFC6CBB">
      <w:pPr>
        <w:snapToGrid w:val="0"/>
        <w:spacing w:line="440" w:lineRule="exact"/>
        <w:ind w:firstLine="3360" w:firstLineChars="1400"/>
        <w:rPr>
          <w:rFonts w:ascii="仿宋" w:hAnsi="仿宋" w:eastAsia="仿宋" w:cs="仿宋"/>
          <w:sz w:val="24"/>
          <w:szCs w:val="24"/>
        </w:rPr>
      </w:pPr>
      <w:r>
        <w:rPr>
          <w:rFonts w:hint="eastAsia" w:ascii="仿宋" w:hAnsi="仿宋" w:eastAsia="仿宋" w:cs="仿宋"/>
          <w:sz w:val="24"/>
          <w:szCs w:val="24"/>
        </w:rPr>
        <w:t>（粘贴此处）</w:t>
      </w:r>
    </w:p>
    <w:p w14:paraId="30B387C1">
      <w:pPr>
        <w:snapToGrid w:val="0"/>
        <w:spacing w:line="440" w:lineRule="exact"/>
        <w:ind w:firstLine="482" w:firstLineChars="200"/>
        <w:rPr>
          <w:rFonts w:ascii="仿宋" w:hAnsi="仿宋" w:eastAsia="仿宋" w:cs="仿宋"/>
          <w:b/>
          <w:bCs/>
          <w:sz w:val="24"/>
          <w:szCs w:val="24"/>
        </w:rPr>
      </w:pPr>
    </w:p>
    <w:p w14:paraId="5E4EC90E">
      <w:pPr>
        <w:snapToGrid w:val="0"/>
        <w:spacing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注:参加磋商时法定代表人将身份证原件带至磋商现场备查。</w:t>
      </w:r>
    </w:p>
    <w:p w14:paraId="4F9CC207">
      <w:pPr>
        <w:snapToGrid w:val="0"/>
        <w:spacing w:line="440" w:lineRule="exact"/>
        <w:jc w:val="center"/>
        <w:outlineLvl w:val="3"/>
        <w:rPr>
          <w:rFonts w:ascii="仿宋" w:hAnsi="仿宋" w:eastAsia="仿宋" w:cs="仿宋"/>
          <w:b/>
          <w:bCs/>
          <w:sz w:val="24"/>
          <w:szCs w:val="24"/>
        </w:rPr>
      </w:pPr>
      <w:r>
        <w:rPr>
          <w:rFonts w:hint="eastAsia" w:ascii="仿宋" w:hAnsi="仿宋" w:eastAsia="仿宋" w:cs="仿宋"/>
          <w:b/>
          <w:bCs/>
          <w:sz w:val="24"/>
          <w:szCs w:val="24"/>
        </w:rPr>
        <w:br w:type="page"/>
      </w:r>
      <w:r>
        <w:rPr>
          <w:rFonts w:hint="eastAsia" w:ascii="仿宋" w:hAnsi="仿宋" w:eastAsia="仿宋" w:cs="仿宋"/>
          <w:b/>
          <w:bCs/>
          <w:sz w:val="24"/>
          <w:szCs w:val="24"/>
        </w:rPr>
        <w:t>2、授权委托书</w:t>
      </w:r>
    </w:p>
    <w:p w14:paraId="735531B6">
      <w:pPr>
        <w:snapToGrid w:val="0"/>
        <w:spacing w:line="440" w:lineRule="exact"/>
        <w:jc w:val="center"/>
        <w:rPr>
          <w:rFonts w:ascii="仿宋" w:hAnsi="仿宋" w:eastAsia="仿宋" w:cs="仿宋"/>
          <w:sz w:val="24"/>
          <w:szCs w:val="24"/>
        </w:rPr>
      </w:pPr>
      <w:r>
        <w:rPr>
          <w:rFonts w:hint="eastAsia" w:ascii="仿宋" w:hAnsi="仿宋" w:eastAsia="仿宋" w:cs="仿宋"/>
          <w:sz w:val="24"/>
          <w:szCs w:val="24"/>
        </w:rPr>
        <w:t>（如被授权人参加磋商，须出示此证明）</w:t>
      </w:r>
    </w:p>
    <w:p w14:paraId="03B860A2">
      <w:pPr>
        <w:snapToGrid w:val="0"/>
        <w:spacing w:line="440" w:lineRule="exact"/>
        <w:jc w:val="center"/>
        <w:rPr>
          <w:rFonts w:ascii="仿宋" w:hAnsi="仿宋" w:eastAsia="仿宋" w:cs="仿宋"/>
          <w:sz w:val="24"/>
          <w:szCs w:val="24"/>
        </w:rPr>
      </w:pPr>
    </w:p>
    <w:p w14:paraId="6D49B49F">
      <w:pPr>
        <w:snapToGrid w:val="0"/>
        <w:spacing w:line="440" w:lineRule="exact"/>
        <w:ind w:firstLine="480" w:firstLineChars="200"/>
        <w:rPr>
          <w:rFonts w:ascii="仿宋" w:hAnsi="仿宋" w:eastAsia="仿宋" w:cs="仿宋"/>
          <w:sz w:val="24"/>
          <w:szCs w:val="24"/>
          <w:u w:val="single"/>
        </w:rPr>
      </w:pPr>
      <w:r>
        <w:rPr>
          <w:rFonts w:hint="eastAsia" w:ascii="仿宋" w:hAnsi="仿宋" w:eastAsia="仿宋" w:cs="仿宋"/>
          <w:sz w:val="24"/>
          <w:szCs w:val="24"/>
          <w:u w:val="single"/>
        </w:rPr>
        <w:t>南通市养老服务指导中心：</w:t>
      </w:r>
    </w:p>
    <w:p w14:paraId="1E6054DF">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兹授权</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被授权人的姓名）代表我公司参加</w:t>
      </w:r>
      <w:r>
        <w:rPr>
          <w:rFonts w:hint="eastAsia" w:ascii="仿宋" w:hAnsi="仿宋" w:eastAsia="仿宋" w:cs="仿宋"/>
          <w:sz w:val="24"/>
          <w:szCs w:val="24"/>
          <w:u w:val="single"/>
        </w:rPr>
        <w:t xml:space="preserve">    </w:t>
      </w:r>
      <w:r>
        <w:rPr>
          <w:rFonts w:hint="eastAsia" w:ascii="仿宋" w:hAnsi="仿宋" w:eastAsia="仿宋" w:cs="仿宋"/>
          <w:sz w:val="24"/>
          <w:szCs w:val="24"/>
        </w:rPr>
        <w:t>（竞争性磋商项目名称及项目编号)项目的政府采购活动，全权处理一切与该项目招标有关的事务。其在办理上述事宜过程中所签署的所有文件我公司均予以承认。</w:t>
      </w:r>
    </w:p>
    <w:p w14:paraId="3EC3D0AB">
      <w:pPr>
        <w:pStyle w:val="24"/>
        <w:adjustRightInd w:val="0"/>
        <w:snapToGrid w:val="0"/>
        <w:spacing w:line="440" w:lineRule="exact"/>
        <w:ind w:firstLine="480" w:firstLineChars="200"/>
        <w:jc w:val="left"/>
        <w:rPr>
          <w:rFonts w:ascii="仿宋" w:hAnsi="仿宋" w:eastAsia="仿宋" w:cs="仿宋"/>
          <w:sz w:val="24"/>
          <w:szCs w:val="24"/>
        </w:rPr>
      </w:pPr>
    </w:p>
    <w:p w14:paraId="2EA53E23">
      <w:pPr>
        <w:pStyle w:val="24"/>
        <w:adjustRightInd w:val="0"/>
        <w:snapToGrid w:val="0"/>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被授权人无转委托权，特此委托。</w:t>
      </w:r>
    </w:p>
    <w:p w14:paraId="407C910B">
      <w:pPr>
        <w:pStyle w:val="24"/>
        <w:adjustRightInd w:val="0"/>
        <w:snapToGrid w:val="0"/>
        <w:spacing w:line="440" w:lineRule="exact"/>
        <w:ind w:firstLine="480" w:firstLineChars="200"/>
        <w:jc w:val="left"/>
        <w:rPr>
          <w:rFonts w:ascii="仿宋" w:hAnsi="仿宋" w:eastAsia="仿宋" w:cs="仿宋"/>
          <w:sz w:val="24"/>
          <w:szCs w:val="24"/>
        </w:rPr>
      </w:pPr>
    </w:p>
    <w:p w14:paraId="243DFF65">
      <w:pPr>
        <w:spacing w:line="440" w:lineRule="exact"/>
        <w:rPr>
          <w:rFonts w:ascii="仿宋" w:hAnsi="仿宋" w:eastAsia="仿宋" w:cs="仿宋"/>
          <w:sz w:val="24"/>
          <w:szCs w:val="24"/>
        </w:rPr>
      </w:pPr>
      <w:r>
        <w:rPr>
          <w:rFonts w:hint="eastAsia" w:ascii="仿宋" w:hAnsi="仿宋" w:eastAsia="仿宋" w:cs="仿宋"/>
          <w:sz w:val="24"/>
          <w:szCs w:val="24"/>
        </w:rPr>
        <w:t>附：被授权人情况：</w:t>
      </w:r>
    </w:p>
    <w:p w14:paraId="1F53943E">
      <w:pPr>
        <w:spacing w:line="440" w:lineRule="exact"/>
        <w:rPr>
          <w:rFonts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性别：</w:t>
      </w:r>
      <w:r>
        <w:rPr>
          <w:rFonts w:hint="eastAsia" w:ascii="仿宋" w:hAnsi="仿宋" w:eastAsia="仿宋" w:cs="仿宋"/>
          <w:sz w:val="24"/>
          <w:szCs w:val="24"/>
          <w:u w:val="single"/>
        </w:rPr>
        <w:t xml:space="preserve">    </w:t>
      </w:r>
      <w:r>
        <w:rPr>
          <w:rFonts w:hint="eastAsia" w:ascii="仿宋" w:hAnsi="仿宋" w:eastAsia="仿宋" w:cs="仿宋"/>
          <w:sz w:val="24"/>
          <w:szCs w:val="24"/>
        </w:rPr>
        <w:t>年龄：</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p>
    <w:p w14:paraId="6214C0DF">
      <w:pPr>
        <w:spacing w:line="440" w:lineRule="exact"/>
        <w:rPr>
          <w:rFonts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14:paraId="172B5BBC">
      <w:pPr>
        <w:spacing w:line="440" w:lineRule="exact"/>
        <w:rPr>
          <w:rFonts w:ascii="仿宋" w:hAnsi="仿宋" w:eastAsia="仿宋" w:cs="仿宋"/>
          <w:sz w:val="24"/>
          <w:szCs w:val="24"/>
        </w:rPr>
      </w:pPr>
      <w:r>
        <w:rPr>
          <w:rFonts w:hint="eastAsia" w:ascii="仿宋" w:hAnsi="仿宋" w:eastAsia="仿宋" w:cs="仿宋"/>
          <w:sz w:val="24"/>
          <w:szCs w:val="24"/>
        </w:rPr>
        <w:t>手机：</w:t>
      </w:r>
      <w:r>
        <w:rPr>
          <w:rFonts w:hint="eastAsia" w:ascii="仿宋" w:hAnsi="仿宋" w:eastAsia="仿宋" w:cs="仿宋"/>
          <w:sz w:val="24"/>
          <w:szCs w:val="24"/>
          <w:u w:val="single"/>
        </w:rPr>
        <w:t xml:space="preserve">                 </w:t>
      </w:r>
      <w:r>
        <w:rPr>
          <w:rFonts w:hint="eastAsia" w:ascii="仿宋" w:hAnsi="仿宋" w:eastAsia="仿宋" w:cs="仿宋"/>
          <w:sz w:val="24"/>
          <w:szCs w:val="24"/>
        </w:rPr>
        <w:t>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48C9ED63">
      <w:pPr>
        <w:spacing w:line="440" w:lineRule="exact"/>
        <w:rPr>
          <w:rFonts w:ascii="仿宋" w:hAnsi="仿宋" w:eastAsia="仿宋" w:cs="仿宋"/>
          <w:sz w:val="24"/>
          <w:szCs w:val="24"/>
        </w:rPr>
      </w:pPr>
      <w:r>
        <w:rPr>
          <w:rFonts w:hint="eastAsia" w:ascii="仿宋" w:hAnsi="仿宋" w:eastAsia="仿宋" w:cs="仿宋"/>
          <w:sz w:val="24"/>
          <w:szCs w:val="24"/>
        </w:rPr>
        <w:t>单位名称（公章）             法定代表人（签字或盖章）</w:t>
      </w:r>
    </w:p>
    <w:p w14:paraId="51F7683F">
      <w:pPr>
        <w:spacing w:line="440" w:lineRule="exact"/>
        <w:ind w:firstLine="1200" w:firstLineChars="500"/>
        <w:rPr>
          <w:rFonts w:ascii="仿宋" w:hAnsi="仿宋" w:eastAsia="仿宋" w:cs="仿宋"/>
          <w:sz w:val="24"/>
          <w:szCs w:val="24"/>
        </w:rPr>
      </w:pPr>
      <w:r>
        <w:rPr>
          <w:rFonts w:hint="eastAsia" w:ascii="仿宋" w:hAnsi="仿宋" w:eastAsia="仿宋" w:cs="仿宋"/>
          <w:sz w:val="24"/>
          <w:szCs w:val="24"/>
        </w:rPr>
        <w:t xml:space="preserve">年   月   日                 年   月    日  </w:t>
      </w:r>
    </w:p>
    <w:p w14:paraId="2DA5310D">
      <w:pPr>
        <w:spacing w:line="440" w:lineRule="exact"/>
        <w:rPr>
          <w:rFonts w:ascii="仿宋" w:hAnsi="仿宋" w:eastAsia="仿宋" w:cs="仿宋"/>
          <w:sz w:val="24"/>
          <w:szCs w:val="24"/>
        </w:rPr>
      </w:pPr>
    </w:p>
    <w:p w14:paraId="714B8E74">
      <w:pPr>
        <w:snapToGrid w:val="0"/>
        <w:spacing w:line="440" w:lineRule="exact"/>
        <w:ind w:firstLine="2479" w:firstLineChars="1029"/>
        <w:rPr>
          <w:rFonts w:ascii="仿宋" w:hAnsi="仿宋" w:eastAsia="仿宋" w:cs="仿宋"/>
          <w:b/>
          <w:bCs/>
          <w:sz w:val="24"/>
          <w:szCs w:val="24"/>
        </w:rPr>
      </w:pPr>
      <w:r>
        <w:rPr>
          <w:rFonts w:hint="eastAsia" w:ascii="仿宋" w:hAnsi="仿宋" w:eastAsia="仿宋" w:cs="仿宋"/>
          <w:b/>
          <w:bCs/>
          <w:sz w:val="24"/>
          <w:szCs w:val="24"/>
        </w:rPr>
        <w:t>法定代表人身份证复印件</w:t>
      </w:r>
    </w:p>
    <w:p w14:paraId="1C6AFFCA">
      <w:pPr>
        <w:snapToGrid w:val="0"/>
        <w:spacing w:line="440" w:lineRule="exact"/>
        <w:rPr>
          <w:rFonts w:ascii="仿宋" w:hAnsi="仿宋" w:eastAsia="仿宋" w:cs="仿宋"/>
          <w:sz w:val="24"/>
          <w:szCs w:val="24"/>
        </w:rPr>
      </w:pPr>
    </w:p>
    <w:p w14:paraId="1DC1E33A">
      <w:pPr>
        <w:snapToGrid w:val="0"/>
        <w:spacing w:line="440" w:lineRule="exact"/>
        <w:ind w:firstLine="2997" w:firstLineChars="1244"/>
        <w:rPr>
          <w:rFonts w:ascii="仿宋" w:hAnsi="仿宋" w:eastAsia="仿宋" w:cs="仿宋"/>
          <w:b/>
          <w:bCs/>
          <w:sz w:val="24"/>
          <w:szCs w:val="24"/>
        </w:rPr>
      </w:pPr>
      <w:r>
        <w:rPr>
          <w:rFonts w:hint="eastAsia" w:ascii="仿宋" w:hAnsi="仿宋" w:eastAsia="仿宋" w:cs="仿宋"/>
          <w:b/>
          <w:bCs/>
          <w:sz w:val="24"/>
          <w:szCs w:val="24"/>
        </w:rPr>
        <w:t>（粘贴此处）</w:t>
      </w:r>
    </w:p>
    <w:p w14:paraId="5556E0B5">
      <w:pPr>
        <w:spacing w:line="440" w:lineRule="exact"/>
        <w:rPr>
          <w:rFonts w:ascii="仿宋" w:hAnsi="仿宋" w:eastAsia="仿宋" w:cs="仿宋"/>
          <w:sz w:val="24"/>
          <w:szCs w:val="24"/>
        </w:rPr>
      </w:pPr>
    </w:p>
    <w:p w14:paraId="034520F2">
      <w:pPr>
        <w:spacing w:line="440" w:lineRule="exact"/>
        <w:rPr>
          <w:rFonts w:ascii="仿宋" w:hAnsi="仿宋" w:eastAsia="仿宋" w:cs="仿宋"/>
          <w:sz w:val="24"/>
          <w:szCs w:val="24"/>
        </w:rPr>
      </w:pPr>
    </w:p>
    <w:p w14:paraId="734B7E6E">
      <w:pPr>
        <w:spacing w:line="440" w:lineRule="exact"/>
        <w:ind w:firstLine="2479" w:firstLineChars="1029"/>
        <w:rPr>
          <w:rFonts w:ascii="仿宋" w:hAnsi="仿宋" w:eastAsia="仿宋" w:cs="仿宋"/>
          <w:b/>
          <w:bCs/>
          <w:sz w:val="24"/>
          <w:szCs w:val="24"/>
        </w:rPr>
      </w:pPr>
      <w:r>
        <w:rPr>
          <w:rFonts w:hint="eastAsia" w:ascii="仿宋" w:hAnsi="仿宋" w:eastAsia="仿宋" w:cs="仿宋"/>
          <w:b/>
          <w:bCs/>
          <w:sz w:val="24"/>
          <w:szCs w:val="24"/>
        </w:rPr>
        <w:t>被授权人身份证复印件</w:t>
      </w:r>
    </w:p>
    <w:p w14:paraId="3F985EE1">
      <w:pPr>
        <w:spacing w:line="440" w:lineRule="exact"/>
        <w:rPr>
          <w:rFonts w:ascii="仿宋" w:hAnsi="仿宋" w:eastAsia="仿宋" w:cs="仿宋"/>
          <w:sz w:val="24"/>
          <w:szCs w:val="24"/>
        </w:rPr>
      </w:pPr>
    </w:p>
    <w:p w14:paraId="45D3D207">
      <w:pPr>
        <w:spacing w:line="440" w:lineRule="exact"/>
        <w:ind w:firstLine="3115" w:firstLineChars="1293"/>
        <w:rPr>
          <w:rFonts w:ascii="仿宋" w:hAnsi="仿宋" w:eastAsia="仿宋" w:cs="仿宋"/>
          <w:b/>
          <w:bCs/>
          <w:sz w:val="24"/>
          <w:szCs w:val="24"/>
        </w:rPr>
      </w:pPr>
      <w:r>
        <w:rPr>
          <w:rFonts w:hint="eastAsia" w:ascii="仿宋" w:hAnsi="仿宋" w:eastAsia="仿宋" w:cs="仿宋"/>
          <w:b/>
          <w:bCs/>
          <w:sz w:val="24"/>
          <w:szCs w:val="24"/>
        </w:rPr>
        <w:t>（粘贴此处）</w:t>
      </w:r>
    </w:p>
    <w:p w14:paraId="5EE168CB">
      <w:pPr>
        <w:pStyle w:val="50"/>
        <w:spacing w:line="440" w:lineRule="exact"/>
        <w:ind w:firstLine="480"/>
        <w:rPr>
          <w:rFonts w:ascii="仿宋" w:hAnsi="仿宋" w:eastAsia="仿宋" w:cs="仿宋"/>
        </w:rPr>
      </w:pPr>
    </w:p>
    <w:p w14:paraId="6E000428">
      <w:pPr>
        <w:spacing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注:参加磋商时被授权人将身份证原件带至磋商现场备查。</w:t>
      </w:r>
    </w:p>
    <w:p w14:paraId="1AEBF597">
      <w:pPr>
        <w:snapToGrid w:val="0"/>
        <w:spacing w:line="440" w:lineRule="exact"/>
        <w:jc w:val="center"/>
        <w:outlineLvl w:val="3"/>
        <w:rPr>
          <w:rFonts w:ascii="仿宋" w:hAnsi="仿宋" w:eastAsia="仿宋" w:cs="仿宋"/>
          <w:b/>
          <w:bCs/>
          <w:sz w:val="24"/>
          <w:szCs w:val="24"/>
        </w:rPr>
      </w:pPr>
    </w:p>
    <w:p w14:paraId="4CF5335A">
      <w:pPr>
        <w:snapToGrid w:val="0"/>
        <w:spacing w:line="440" w:lineRule="exact"/>
        <w:jc w:val="center"/>
        <w:outlineLvl w:val="3"/>
        <w:rPr>
          <w:rFonts w:ascii="宋体" w:hAnsi="宋体" w:cs="宋体"/>
          <w:b/>
          <w:color w:val="000000"/>
          <w:sz w:val="28"/>
          <w:szCs w:val="28"/>
        </w:rPr>
      </w:pPr>
      <w:r>
        <w:rPr>
          <w:rFonts w:hint="eastAsia" w:ascii="仿宋" w:hAnsi="仿宋" w:eastAsia="仿宋" w:cs="仿宋"/>
          <w:sz w:val="24"/>
          <w:szCs w:val="24"/>
        </w:rPr>
        <w:br w:type="page"/>
      </w:r>
      <w:r>
        <w:rPr>
          <w:rFonts w:hint="eastAsia" w:ascii="仿宋" w:hAnsi="仿宋" w:eastAsia="仿宋" w:cs="仿宋"/>
          <w:b/>
          <w:bCs/>
          <w:sz w:val="24"/>
          <w:szCs w:val="24"/>
        </w:rPr>
        <w:t>3、投标人符合本项目供应商资格要求规定条件的承诺函</w:t>
      </w:r>
    </w:p>
    <w:p w14:paraId="509D2392">
      <w:pPr>
        <w:spacing w:line="460" w:lineRule="exact"/>
        <w:rPr>
          <w:rFonts w:ascii="宋体" w:hAnsi="宋体" w:cs="宋体"/>
          <w:b/>
          <w:color w:val="000000"/>
          <w:sz w:val="28"/>
          <w:szCs w:val="28"/>
        </w:rPr>
      </w:pPr>
    </w:p>
    <w:p w14:paraId="0B9298B6">
      <w:pPr>
        <w:spacing w:line="440" w:lineRule="exact"/>
        <w:ind w:firstLine="720" w:firstLineChars="300"/>
        <w:rPr>
          <w:rFonts w:ascii="仿宋" w:hAnsi="仿宋" w:eastAsia="仿宋" w:cs="仿宋"/>
          <w:sz w:val="24"/>
          <w:szCs w:val="24"/>
          <w:lang w:val="zh-CN"/>
        </w:rPr>
      </w:pPr>
      <w:r>
        <w:rPr>
          <w:rFonts w:hint="eastAsia" w:ascii="仿宋" w:hAnsi="仿宋" w:eastAsia="仿宋" w:cs="仿宋"/>
          <w:sz w:val="24"/>
          <w:szCs w:val="24"/>
          <w:lang w:val="zh-CN"/>
        </w:rPr>
        <w:t>我单位参加________________ _（项目名称）的投标活动。针对本项目供应商资格要求中“本项目的基本资格要求”规定做出如下声明：</w:t>
      </w:r>
    </w:p>
    <w:p w14:paraId="40F3BCDD">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1.我单位具有独立承担民事责任的能力；</w:t>
      </w:r>
    </w:p>
    <w:p w14:paraId="1947EAF5">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2.我单位具有良好的商业信誉和健全的财务会计制度；</w:t>
      </w:r>
    </w:p>
    <w:p w14:paraId="7C0F33E5">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3.我单位具有履行合同所必需的设备和专业技术能力；</w:t>
      </w:r>
    </w:p>
    <w:p w14:paraId="203D62FC">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4.我单位有依法缴纳税收和社会保障资金的良好记录；</w:t>
      </w:r>
    </w:p>
    <w:p w14:paraId="54693FEF">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5.我单位参加采购活动前三年内，在经营活动中没有重大违法记录；</w:t>
      </w:r>
    </w:p>
    <w:p w14:paraId="17B9C136">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6.我单位满足法律、行政法规规定的其他条件。</w:t>
      </w:r>
    </w:p>
    <w:p w14:paraId="319C8980">
      <w:pPr>
        <w:spacing w:line="500" w:lineRule="exact"/>
        <w:ind w:firstLine="482"/>
        <w:rPr>
          <w:rFonts w:asciiTheme="majorEastAsia" w:hAnsiTheme="majorEastAsia" w:eastAsiaTheme="majorEastAsia"/>
          <w:color w:val="0D0D0D"/>
          <w:sz w:val="24"/>
          <w:szCs w:val="24"/>
        </w:rPr>
      </w:pPr>
    </w:p>
    <w:p w14:paraId="4D31073B">
      <w:pPr>
        <w:spacing w:line="500" w:lineRule="exact"/>
        <w:rPr>
          <w:rFonts w:asciiTheme="majorEastAsia" w:hAnsiTheme="majorEastAsia" w:eastAsiaTheme="majorEastAsia"/>
          <w:bCs/>
          <w:color w:val="0D0D0D"/>
          <w:sz w:val="24"/>
          <w:szCs w:val="24"/>
        </w:rPr>
      </w:pPr>
    </w:p>
    <w:p w14:paraId="73ABF911">
      <w:pPr>
        <w:spacing w:line="500" w:lineRule="exact"/>
        <w:rPr>
          <w:rFonts w:asciiTheme="majorEastAsia" w:hAnsiTheme="majorEastAsia" w:eastAsiaTheme="majorEastAsia"/>
          <w:bCs/>
          <w:color w:val="0D0D0D"/>
          <w:sz w:val="24"/>
          <w:szCs w:val="24"/>
        </w:rPr>
      </w:pPr>
    </w:p>
    <w:p w14:paraId="4FDB5F06">
      <w:pPr>
        <w:spacing w:line="500" w:lineRule="exact"/>
        <w:rPr>
          <w:rFonts w:asciiTheme="majorEastAsia" w:hAnsiTheme="majorEastAsia" w:eastAsiaTheme="majorEastAsia"/>
          <w:bCs/>
          <w:color w:val="0D0D0D"/>
          <w:sz w:val="24"/>
          <w:szCs w:val="24"/>
        </w:rPr>
      </w:pPr>
    </w:p>
    <w:p w14:paraId="689F24A3">
      <w:pPr>
        <w:spacing w:line="440" w:lineRule="exact"/>
        <w:ind w:firstLine="480" w:firstLineChars="200"/>
        <w:rPr>
          <w:rFonts w:ascii="仿宋" w:hAnsi="仿宋" w:eastAsia="仿宋" w:cs="仿宋"/>
          <w:sz w:val="24"/>
          <w:szCs w:val="24"/>
          <w:lang w:val="zh-CN"/>
        </w:rPr>
      </w:pPr>
      <w:r>
        <w:rPr>
          <w:rFonts w:hint="eastAsia" w:asciiTheme="majorEastAsia" w:hAnsiTheme="majorEastAsia" w:eastAsiaTheme="majorEastAsia"/>
          <w:color w:val="0D0D0D"/>
          <w:sz w:val="24"/>
          <w:szCs w:val="24"/>
          <w:lang w:val="zh-CN"/>
        </w:rPr>
        <w:t xml:space="preserve">                                          </w:t>
      </w:r>
      <w:r>
        <w:rPr>
          <w:rFonts w:hint="eastAsia" w:ascii="仿宋" w:hAnsi="仿宋" w:eastAsia="仿宋" w:cs="仿宋"/>
          <w:sz w:val="24"/>
          <w:szCs w:val="24"/>
          <w:lang w:val="zh-CN"/>
        </w:rPr>
        <w:t xml:space="preserve"> 承诺人名称（公章）：</w:t>
      </w:r>
    </w:p>
    <w:p w14:paraId="414A81BA">
      <w:pPr>
        <w:spacing w:line="440" w:lineRule="exact"/>
        <w:ind w:firstLine="480" w:firstLineChars="200"/>
        <w:rPr>
          <w:rFonts w:ascii="仿宋" w:hAnsi="仿宋" w:eastAsia="仿宋" w:cs="仿宋"/>
          <w:sz w:val="24"/>
          <w:szCs w:val="24"/>
          <w:lang w:val="zh-CN"/>
        </w:rPr>
      </w:pPr>
    </w:p>
    <w:p w14:paraId="0E3114B3">
      <w:pPr>
        <w:spacing w:line="440" w:lineRule="exact"/>
        <w:ind w:firstLine="5520" w:firstLineChars="2300"/>
        <w:rPr>
          <w:rFonts w:ascii="仿宋" w:hAnsi="仿宋" w:eastAsia="仿宋" w:cs="仿宋"/>
          <w:sz w:val="24"/>
          <w:szCs w:val="24"/>
          <w:lang w:val="zh-CN"/>
        </w:rPr>
      </w:pPr>
      <w:r>
        <w:rPr>
          <w:rFonts w:hint="eastAsia" w:ascii="仿宋" w:hAnsi="仿宋" w:eastAsia="仿宋" w:cs="仿宋"/>
          <w:sz w:val="24"/>
          <w:szCs w:val="24"/>
          <w:lang w:val="zh-CN"/>
        </w:rPr>
        <w:t xml:space="preserve"> 日期：   年  月  日</w:t>
      </w:r>
    </w:p>
    <w:p w14:paraId="02EBC2A5">
      <w:pPr>
        <w:snapToGrid w:val="0"/>
        <w:spacing w:line="520" w:lineRule="exact"/>
        <w:jc w:val="center"/>
        <w:outlineLvl w:val="4"/>
        <w:rPr>
          <w:rFonts w:ascii="宋体" w:hAnsi="宋体" w:cs="宋体"/>
          <w:b/>
          <w:color w:val="000000"/>
          <w:sz w:val="28"/>
          <w:szCs w:val="28"/>
        </w:rPr>
      </w:pPr>
    </w:p>
    <w:p w14:paraId="61456F73">
      <w:pPr>
        <w:spacing w:line="440" w:lineRule="exact"/>
        <w:jc w:val="center"/>
        <w:rPr>
          <w:rFonts w:ascii="仿宋" w:hAnsi="仿宋" w:eastAsia="仿宋" w:cs="仿宋"/>
          <w:b/>
          <w:bCs/>
          <w:sz w:val="24"/>
          <w:szCs w:val="24"/>
        </w:rPr>
      </w:pPr>
    </w:p>
    <w:p w14:paraId="5CB89B56">
      <w:pPr>
        <w:spacing w:line="440" w:lineRule="exact"/>
        <w:jc w:val="center"/>
        <w:rPr>
          <w:rFonts w:ascii="仿宋" w:hAnsi="仿宋" w:eastAsia="仿宋" w:cs="仿宋"/>
          <w:b/>
          <w:bCs/>
          <w:sz w:val="24"/>
          <w:szCs w:val="24"/>
        </w:rPr>
      </w:pPr>
    </w:p>
    <w:p w14:paraId="58AC0C62">
      <w:pPr>
        <w:spacing w:line="440" w:lineRule="exact"/>
        <w:jc w:val="center"/>
        <w:rPr>
          <w:rFonts w:ascii="仿宋" w:hAnsi="仿宋" w:eastAsia="仿宋" w:cs="仿宋"/>
          <w:b/>
          <w:bCs/>
          <w:sz w:val="24"/>
          <w:szCs w:val="24"/>
        </w:rPr>
      </w:pPr>
    </w:p>
    <w:p w14:paraId="78B7AA61">
      <w:pPr>
        <w:spacing w:line="440" w:lineRule="exact"/>
        <w:jc w:val="center"/>
        <w:rPr>
          <w:rFonts w:ascii="仿宋" w:hAnsi="仿宋" w:eastAsia="仿宋" w:cs="仿宋"/>
          <w:b/>
          <w:bCs/>
          <w:sz w:val="24"/>
          <w:szCs w:val="24"/>
        </w:rPr>
      </w:pPr>
    </w:p>
    <w:p w14:paraId="5C38A7AB">
      <w:pPr>
        <w:spacing w:line="440" w:lineRule="exact"/>
        <w:jc w:val="center"/>
        <w:rPr>
          <w:rFonts w:ascii="仿宋" w:hAnsi="仿宋" w:eastAsia="仿宋" w:cs="仿宋"/>
          <w:b/>
          <w:bCs/>
          <w:sz w:val="24"/>
          <w:szCs w:val="24"/>
        </w:rPr>
      </w:pPr>
    </w:p>
    <w:p w14:paraId="51AB1696">
      <w:pPr>
        <w:spacing w:line="440" w:lineRule="exact"/>
        <w:jc w:val="center"/>
        <w:rPr>
          <w:rFonts w:ascii="仿宋" w:hAnsi="仿宋" w:eastAsia="仿宋" w:cs="仿宋"/>
          <w:b/>
          <w:bCs/>
          <w:sz w:val="24"/>
          <w:szCs w:val="24"/>
        </w:rPr>
      </w:pPr>
    </w:p>
    <w:p w14:paraId="2517672B">
      <w:pPr>
        <w:spacing w:line="440" w:lineRule="exact"/>
        <w:jc w:val="center"/>
        <w:rPr>
          <w:rFonts w:ascii="仿宋" w:hAnsi="仿宋" w:eastAsia="仿宋" w:cs="仿宋"/>
          <w:b/>
          <w:bCs/>
          <w:sz w:val="24"/>
          <w:szCs w:val="24"/>
        </w:rPr>
      </w:pPr>
    </w:p>
    <w:p w14:paraId="5CF58521">
      <w:pPr>
        <w:spacing w:line="440" w:lineRule="exact"/>
        <w:jc w:val="center"/>
        <w:rPr>
          <w:rFonts w:ascii="仿宋" w:hAnsi="仿宋" w:eastAsia="仿宋" w:cs="仿宋"/>
          <w:b/>
          <w:bCs/>
          <w:sz w:val="24"/>
          <w:szCs w:val="24"/>
        </w:rPr>
      </w:pPr>
    </w:p>
    <w:p w14:paraId="4A0676C5">
      <w:pPr>
        <w:spacing w:line="440" w:lineRule="exact"/>
        <w:jc w:val="center"/>
        <w:rPr>
          <w:rFonts w:ascii="仿宋" w:hAnsi="仿宋" w:eastAsia="仿宋" w:cs="仿宋"/>
          <w:b/>
          <w:bCs/>
          <w:sz w:val="24"/>
          <w:szCs w:val="24"/>
        </w:rPr>
      </w:pPr>
    </w:p>
    <w:p w14:paraId="50AED5C8">
      <w:pPr>
        <w:spacing w:line="440" w:lineRule="exact"/>
        <w:jc w:val="center"/>
        <w:rPr>
          <w:rFonts w:ascii="仿宋" w:hAnsi="仿宋" w:eastAsia="仿宋" w:cs="仿宋"/>
          <w:b/>
          <w:bCs/>
          <w:sz w:val="24"/>
          <w:szCs w:val="24"/>
        </w:rPr>
      </w:pPr>
    </w:p>
    <w:p w14:paraId="058CE751">
      <w:pPr>
        <w:spacing w:line="440" w:lineRule="exact"/>
        <w:jc w:val="center"/>
        <w:rPr>
          <w:rFonts w:ascii="仿宋" w:hAnsi="仿宋" w:eastAsia="仿宋" w:cs="仿宋"/>
          <w:b/>
          <w:bCs/>
          <w:sz w:val="24"/>
          <w:szCs w:val="24"/>
        </w:rPr>
      </w:pPr>
    </w:p>
    <w:p w14:paraId="15909A6B">
      <w:pPr>
        <w:spacing w:line="440" w:lineRule="exact"/>
        <w:jc w:val="center"/>
        <w:rPr>
          <w:rFonts w:ascii="仿宋" w:hAnsi="仿宋" w:eastAsia="仿宋" w:cs="仿宋"/>
          <w:b/>
          <w:bCs/>
          <w:sz w:val="24"/>
          <w:szCs w:val="24"/>
        </w:rPr>
      </w:pPr>
    </w:p>
    <w:p w14:paraId="4669C0D2">
      <w:pPr>
        <w:spacing w:line="440" w:lineRule="exact"/>
        <w:jc w:val="center"/>
        <w:rPr>
          <w:rFonts w:ascii="仿宋" w:hAnsi="仿宋" w:eastAsia="仿宋" w:cs="仿宋"/>
          <w:b/>
          <w:bCs/>
          <w:sz w:val="24"/>
          <w:szCs w:val="24"/>
        </w:rPr>
      </w:pPr>
    </w:p>
    <w:p w14:paraId="70E552B6">
      <w:pPr>
        <w:spacing w:line="440" w:lineRule="exact"/>
        <w:jc w:val="center"/>
        <w:rPr>
          <w:rFonts w:ascii="仿宋" w:hAnsi="仿宋" w:eastAsia="仿宋" w:cs="仿宋"/>
          <w:b/>
          <w:bCs/>
          <w:sz w:val="24"/>
          <w:szCs w:val="24"/>
        </w:rPr>
      </w:pPr>
      <w:r>
        <w:rPr>
          <w:rFonts w:hint="eastAsia" w:ascii="仿宋" w:hAnsi="仿宋" w:eastAsia="仿宋" w:cs="仿宋"/>
          <w:b/>
          <w:bCs/>
          <w:sz w:val="24"/>
          <w:szCs w:val="24"/>
        </w:rPr>
        <w:t>4.无重大违法记录声明</w:t>
      </w:r>
    </w:p>
    <w:p w14:paraId="442E2C3D">
      <w:pPr>
        <w:spacing w:line="440" w:lineRule="exact"/>
        <w:rPr>
          <w:rFonts w:ascii="仿宋" w:hAnsi="仿宋" w:eastAsia="仿宋" w:cs="仿宋"/>
          <w:sz w:val="24"/>
          <w:szCs w:val="24"/>
          <w:u w:val="single"/>
        </w:rPr>
      </w:pPr>
      <w:r>
        <w:rPr>
          <w:rFonts w:hint="eastAsia" w:ascii="仿宋" w:hAnsi="仿宋" w:eastAsia="仿宋" w:cs="仿宋"/>
          <w:sz w:val="24"/>
          <w:szCs w:val="24"/>
          <w:u w:val="single"/>
        </w:rPr>
        <w:t>南通市养老服务指导中心：</w:t>
      </w:r>
    </w:p>
    <w:p w14:paraId="4BBEB3F1">
      <w:pPr>
        <w:spacing w:line="440" w:lineRule="exact"/>
        <w:rPr>
          <w:rFonts w:ascii="仿宋" w:hAnsi="仿宋" w:eastAsia="仿宋" w:cs="仿宋"/>
          <w:sz w:val="24"/>
          <w:szCs w:val="24"/>
        </w:rPr>
      </w:pPr>
      <w:r>
        <w:rPr>
          <w:rFonts w:hint="eastAsia" w:ascii="仿宋" w:hAnsi="仿宋" w:eastAsia="仿宋" w:cs="仿宋"/>
          <w:sz w:val="24"/>
          <w:szCs w:val="24"/>
        </w:rPr>
        <w:t xml:space="preserve">    我单位</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（供应商名称）郑重声明：</w:t>
      </w:r>
    </w:p>
    <w:p w14:paraId="53574976">
      <w:pPr>
        <w:spacing w:line="440" w:lineRule="exact"/>
        <w:rPr>
          <w:rFonts w:ascii="仿宋" w:hAnsi="仿宋" w:eastAsia="仿宋" w:cs="仿宋"/>
          <w:sz w:val="24"/>
          <w:szCs w:val="24"/>
        </w:rPr>
      </w:pPr>
      <w:r>
        <w:rPr>
          <w:rFonts w:hint="eastAsia" w:ascii="仿宋" w:hAnsi="仿宋" w:eastAsia="仿宋" w:cs="仿宋"/>
          <w:sz w:val="24"/>
          <w:szCs w:val="24"/>
        </w:rPr>
        <w:t xml:space="preserve">    参加政府采购活动前3年内在经营活动中</w:t>
      </w:r>
      <w:r>
        <w:rPr>
          <w:rFonts w:hint="eastAsia" w:ascii="仿宋" w:hAnsi="仿宋" w:eastAsia="仿宋" w:cs="仿宋"/>
          <w:sz w:val="24"/>
          <w:szCs w:val="24"/>
          <w:u w:val="single"/>
        </w:rPr>
        <w:t xml:space="preserve">        </w:t>
      </w:r>
      <w:r>
        <w:rPr>
          <w:rFonts w:hint="eastAsia" w:ascii="仿宋" w:hAnsi="仿宋" w:eastAsia="仿宋" w:cs="仿宋"/>
          <w:sz w:val="24"/>
          <w:szCs w:val="24"/>
        </w:rPr>
        <w:t>（在下划线上如实填写：有或没有）重大违法记录。</w:t>
      </w:r>
    </w:p>
    <w:p w14:paraId="5202B56F">
      <w:pPr>
        <w:spacing w:line="440" w:lineRule="exact"/>
        <w:ind w:firstLine="480"/>
        <w:rPr>
          <w:rFonts w:ascii="仿宋" w:hAnsi="仿宋" w:eastAsia="仿宋" w:cs="仿宋"/>
          <w:sz w:val="24"/>
          <w:szCs w:val="24"/>
        </w:rPr>
      </w:pPr>
      <w:r>
        <w:rPr>
          <w:rFonts w:hint="eastAsia" w:ascii="仿宋" w:hAnsi="仿宋" w:eastAsia="仿宋" w:cs="仿宋"/>
          <w:sz w:val="24"/>
          <w:szCs w:val="24"/>
        </w:rPr>
        <w:t>（说明：政府采购法第二十二条第一款第五项所称重大违法记录，是指供应商因违法经营受到刑事处罚或者责令停产停业、吊销许可证或者执照、较大数额罚款等行政处罚。）</w:t>
      </w:r>
    </w:p>
    <w:p w14:paraId="448C11D5">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在参选截止时间节点，没有被“信用中国”网站列入失信被执行人、重大税收违法案件当事人名单、采购严重违法失信行为记录名单。</w:t>
      </w:r>
    </w:p>
    <w:p w14:paraId="57CC41EE">
      <w:pPr>
        <w:spacing w:line="440" w:lineRule="exact"/>
        <w:ind w:firstLine="480"/>
        <w:rPr>
          <w:rFonts w:ascii="仿宋" w:hAnsi="仿宋" w:eastAsia="仿宋" w:cs="仿宋"/>
          <w:sz w:val="24"/>
          <w:szCs w:val="24"/>
        </w:rPr>
      </w:pPr>
    </w:p>
    <w:p w14:paraId="2D5525D6">
      <w:pPr>
        <w:spacing w:line="440" w:lineRule="exact"/>
        <w:rPr>
          <w:rFonts w:ascii="仿宋" w:hAnsi="仿宋" w:eastAsia="仿宋" w:cs="仿宋"/>
          <w:sz w:val="24"/>
          <w:szCs w:val="24"/>
        </w:rPr>
      </w:pPr>
      <w:r>
        <w:rPr>
          <w:rFonts w:hint="eastAsia" w:ascii="仿宋" w:hAnsi="仿宋" w:eastAsia="仿宋" w:cs="仿宋"/>
          <w:sz w:val="24"/>
          <w:szCs w:val="24"/>
        </w:rPr>
        <w:t xml:space="preserve">                                                       </w:t>
      </w:r>
    </w:p>
    <w:p w14:paraId="687206CA">
      <w:pPr>
        <w:spacing w:line="440" w:lineRule="exact"/>
        <w:ind w:firstLine="6360" w:firstLineChars="2650"/>
        <w:rPr>
          <w:rFonts w:ascii="仿宋" w:hAnsi="仿宋" w:eastAsia="仿宋" w:cs="仿宋"/>
          <w:sz w:val="24"/>
          <w:szCs w:val="24"/>
        </w:rPr>
      </w:pPr>
      <w:r>
        <w:rPr>
          <w:rFonts w:hint="eastAsia" w:ascii="仿宋" w:hAnsi="仿宋" w:eastAsia="仿宋" w:cs="仿宋"/>
          <w:sz w:val="24"/>
          <w:szCs w:val="24"/>
        </w:rPr>
        <w:t xml:space="preserve"> 声明人：（公章）</w:t>
      </w:r>
    </w:p>
    <w:p w14:paraId="1AE6908E">
      <w:pPr>
        <w:spacing w:line="440" w:lineRule="exact"/>
        <w:jc w:val="right"/>
        <w:rPr>
          <w:rFonts w:ascii="仿宋" w:hAnsi="仿宋" w:eastAsia="仿宋" w:cs="仿宋"/>
          <w:sz w:val="24"/>
          <w:szCs w:val="24"/>
        </w:rPr>
      </w:pPr>
      <w:r>
        <w:rPr>
          <w:rFonts w:hint="eastAsia" w:ascii="仿宋" w:hAnsi="仿宋" w:eastAsia="仿宋" w:cs="仿宋"/>
          <w:sz w:val="24"/>
          <w:szCs w:val="24"/>
        </w:rPr>
        <w:t xml:space="preserve">                                                   年     月    日</w:t>
      </w:r>
    </w:p>
    <w:p w14:paraId="7C5F6AC9">
      <w:pPr>
        <w:snapToGrid w:val="0"/>
        <w:spacing w:line="440" w:lineRule="exact"/>
        <w:jc w:val="center"/>
        <w:outlineLvl w:val="4"/>
        <w:rPr>
          <w:rFonts w:ascii="仿宋" w:hAnsi="仿宋" w:eastAsia="仿宋" w:cs="仿宋"/>
          <w:b/>
          <w:bCs/>
          <w:sz w:val="24"/>
          <w:szCs w:val="24"/>
        </w:rPr>
      </w:pPr>
      <w:r>
        <w:rPr>
          <w:rFonts w:hint="eastAsia" w:ascii="仿宋" w:hAnsi="仿宋" w:eastAsia="仿宋" w:cs="仿宋"/>
          <w:b/>
          <w:bCs/>
          <w:sz w:val="24"/>
          <w:szCs w:val="24"/>
        </w:rPr>
        <w:br w:type="page"/>
      </w:r>
    </w:p>
    <w:p w14:paraId="71BFDE86">
      <w:pPr>
        <w:spacing w:line="440" w:lineRule="exact"/>
        <w:jc w:val="center"/>
        <w:rPr>
          <w:rFonts w:ascii="仿宋" w:hAnsi="仿宋" w:eastAsia="仿宋" w:cs="仿宋"/>
          <w:b/>
          <w:bCs/>
          <w:sz w:val="24"/>
          <w:szCs w:val="24"/>
        </w:rPr>
      </w:pPr>
      <w:r>
        <w:rPr>
          <w:rFonts w:hint="eastAsia" w:ascii="仿宋" w:hAnsi="仿宋" w:eastAsia="仿宋" w:cs="仿宋"/>
          <w:b/>
          <w:bCs/>
          <w:sz w:val="24"/>
          <w:szCs w:val="24"/>
        </w:rPr>
        <w:t>5、关于资格文件的声明函</w:t>
      </w:r>
    </w:p>
    <w:p w14:paraId="2B7D6E93">
      <w:pPr>
        <w:spacing w:line="440" w:lineRule="exact"/>
        <w:rPr>
          <w:rFonts w:ascii="仿宋" w:hAnsi="仿宋" w:eastAsia="仿宋" w:cs="仿宋"/>
          <w:sz w:val="24"/>
          <w:szCs w:val="24"/>
          <w:u w:val="single"/>
        </w:rPr>
      </w:pPr>
      <w:r>
        <w:rPr>
          <w:rFonts w:hint="eastAsia" w:ascii="仿宋" w:hAnsi="仿宋" w:eastAsia="仿宋" w:cs="仿宋"/>
          <w:sz w:val="24"/>
          <w:szCs w:val="24"/>
          <w:u w:val="single"/>
        </w:rPr>
        <w:t>南通市养老服务指导中心：</w:t>
      </w:r>
    </w:p>
    <w:p w14:paraId="0E3AEF72">
      <w:pPr>
        <w:spacing w:line="440" w:lineRule="exact"/>
        <w:ind w:firstLine="480"/>
        <w:rPr>
          <w:rFonts w:ascii="仿宋" w:hAnsi="仿宋" w:eastAsia="仿宋" w:cs="仿宋"/>
          <w:sz w:val="24"/>
          <w:szCs w:val="24"/>
        </w:rPr>
      </w:pPr>
      <w:r>
        <w:rPr>
          <w:rFonts w:hint="eastAsia" w:ascii="仿宋" w:hAnsi="仿宋" w:eastAsia="仿宋" w:cs="仿宋"/>
          <w:sz w:val="24"/>
          <w:szCs w:val="24"/>
        </w:rPr>
        <w:t>本公司愿就由贵单位组织实施的</w:t>
      </w:r>
      <w:r>
        <w:rPr>
          <w:rFonts w:hint="eastAsia" w:ascii="仿宋" w:hAnsi="仿宋" w:eastAsia="仿宋" w:cs="仿宋"/>
          <w:sz w:val="24"/>
          <w:szCs w:val="24"/>
          <w:u w:val="single"/>
        </w:rPr>
        <w:t xml:space="preserve">    （项目名称）     </w:t>
      </w:r>
      <w:r>
        <w:rPr>
          <w:rFonts w:hint="eastAsia" w:ascii="仿宋" w:hAnsi="仿宋" w:eastAsia="仿宋" w:cs="仿宋"/>
          <w:sz w:val="24"/>
          <w:szCs w:val="24"/>
        </w:rPr>
        <w:t>的活动参与磋商。本公司所提交的投标文件中所有关于投标资格的文件、证明和陈述均是真实的、准确的。若与真实情况不符，本公司愿意承担由此而产生的一切后果。</w:t>
      </w:r>
    </w:p>
    <w:p w14:paraId="798D73E0">
      <w:pPr>
        <w:spacing w:line="440" w:lineRule="exact"/>
        <w:ind w:firstLine="480"/>
        <w:rPr>
          <w:rFonts w:ascii="仿宋" w:hAnsi="仿宋" w:eastAsia="仿宋" w:cs="仿宋"/>
          <w:sz w:val="24"/>
          <w:szCs w:val="24"/>
        </w:rPr>
      </w:pPr>
    </w:p>
    <w:p w14:paraId="30BD80A7">
      <w:pPr>
        <w:spacing w:line="440" w:lineRule="exact"/>
        <w:ind w:firstLine="480"/>
        <w:rPr>
          <w:rFonts w:ascii="仿宋" w:hAnsi="仿宋" w:eastAsia="仿宋" w:cs="仿宋"/>
          <w:sz w:val="24"/>
          <w:szCs w:val="24"/>
        </w:rPr>
      </w:pPr>
    </w:p>
    <w:p w14:paraId="27F226F5">
      <w:pPr>
        <w:spacing w:line="440" w:lineRule="exact"/>
        <w:ind w:firstLine="480" w:firstLineChars="200"/>
        <w:jc w:val="right"/>
        <w:rPr>
          <w:rFonts w:ascii="仿宋" w:hAnsi="仿宋" w:eastAsia="仿宋"/>
          <w:color w:val="000000"/>
          <w:sz w:val="24"/>
          <w:szCs w:val="24"/>
        </w:rPr>
      </w:pPr>
      <w:r>
        <w:rPr>
          <w:rFonts w:hint="eastAsia" w:ascii="仿宋" w:hAnsi="仿宋" w:eastAsia="仿宋" w:cs="仿宋"/>
          <w:sz w:val="24"/>
          <w:szCs w:val="24"/>
        </w:rPr>
        <w:t>竞争性磋商响应单位</w:t>
      </w:r>
      <w:r>
        <w:rPr>
          <w:rFonts w:ascii="仿宋" w:hAnsi="仿宋" w:eastAsia="仿宋"/>
          <w:color w:val="000000"/>
          <w:sz w:val="24"/>
          <w:szCs w:val="24"/>
        </w:rPr>
        <w:t>名称（盖章）：</w:t>
      </w:r>
    </w:p>
    <w:p w14:paraId="291D0B0B">
      <w:pPr>
        <w:spacing w:line="440" w:lineRule="exact"/>
        <w:ind w:firstLine="480" w:firstLineChars="200"/>
        <w:jc w:val="right"/>
        <w:rPr>
          <w:rFonts w:ascii="仿宋" w:hAnsi="仿宋" w:eastAsia="仿宋"/>
          <w:color w:val="000000"/>
          <w:sz w:val="24"/>
          <w:szCs w:val="24"/>
        </w:rPr>
      </w:pPr>
      <w:r>
        <w:rPr>
          <w:rFonts w:ascii="仿宋" w:hAnsi="仿宋" w:eastAsia="仿宋"/>
          <w:color w:val="000000"/>
          <w:sz w:val="24"/>
          <w:szCs w:val="24"/>
        </w:rPr>
        <w:t>法人或授权委托人（签字或盖章）：</w:t>
      </w:r>
    </w:p>
    <w:p w14:paraId="0BDD8A95">
      <w:pPr>
        <w:spacing w:line="440" w:lineRule="exact"/>
        <w:ind w:firstLine="480" w:firstLineChars="200"/>
        <w:jc w:val="right"/>
        <w:rPr>
          <w:rFonts w:ascii="仿宋" w:hAnsi="仿宋" w:eastAsia="仿宋"/>
          <w:color w:val="000000"/>
          <w:sz w:val="24"/>
          <w:szCs w:val="24"/>
        </w:rPr>
      </w:pPr>
      <w:r>
        <w:rPr>
          <w:rFonts w:ascii="仿宋" w:hAnsi="仿宋" w:eastAsia="仿宋"/>
          <w:color w:val="000000"/>
          <w:sz w:val="24"/>
          <w:szCs w:val="24"/>
        </w:rPr>
        <w:t>日期：</w:t>
      </w:r>
    </w:p>
    <w:p w14:paraId="3F175DCB">
      <w:pPr>
        <w:pStyle w:val="18"/>
        <w:spacing w:line="440" w:lineRule="exact"/>
        <w:rPr>
          <w:rFonts w:ascii="仿宋" w:hAnsi="仿宋" w:eastAsia="仿宋"/>
        </w:rPr>
      </w:pPr>
    </w:p>
    <w:p w14:paraId="199DBE7E">
      <w:pPr>
        <w:pStyle w:val="18"/>
        <w:spacing w:line="440" w:lineRule="exact"/>
        <w:rPr>
          <w:rFonts w:ascii="仿宋" w:hAnsi="仿宋" w:eastAsia="仿宋"/>
        </w:rPr>
        <w:sectPr>
          <w:footerReference r:id="rId5" w:type="default"/>
          <w:pgSz w:w="11907" w:h="16839"/>
          <w:pgMar w:top="1440" w:right="1800" w:bottom="1119" w:left="1800" w:header="720" w:footer="720" w:gutter="0"/>
          <w:cols w:space="720" w:num="1"/>
        </w:sectPr>
      </w:pPr>
    </w:p>
    <w:p w14:paraId="524B72F8">
      <w:pPr>
        <w:snapToGrid w:val="0"/>
        <w:spacing w:line="440" w:lineRule="exact"/>
        <w:ind w:firstLine="482" w:firstLineChars="200"/>
        <w:jc w:val="center"/>
        <w:rPr>
          <w:rFonts w:ascii="仿宋" w:hAnsi="仿宋" w:eastAsia="仿宋" w:cs="仿宋"/>
          <w:b/>
          <w:bCs/>
          <w:sz w:val="24"/>
          <w:szCs w:val="24"/>
        </w:rPr>
      </w:pPr>
      <w:r>
        <w:rPr>
          <w:rFonts w:hint="eastAsia" w:ascii="仿宋" w:hAnsi="仿宋" w:eastAsia="仿宋" w:cs="仿宋"/>
          <w:b/>
          <w:bCs/>
          <w:sz w:val="24"/>
          <w:szCs w:val="24"/>
        </w:rPr>
        <w:t>6、竞争性磋商响应函（格式不得变动）</w:t>
      </w:r>
    </w:p>
    <w:p w14:paraId="083E16EC">
      <w:pPr>
        <w:snapToGrid w:val="0"/>
        <w:spacing w:line="440" w:lineRule="exact"/>
        <w:rPr>
          <w:rFonts w:ascii="仿宋" w:hAnsi="仿宋" w:eastAsia="仿宋" w:cs="仿宋"/>
          <w:sz w:val="24"/>
          <w:szCs w:val="24"/>
          <w:u w:val="single"/>
        </w:rPr>
      </w:pPr>
    </w:p>
    <w:p w14:paraId="759D2E6D">
      <w:pPr>
        <w:snapToGrid w:val="0"/>
        <w:spacing w:line="440" w:lineRule="exact"/>
        <w:rPr>
          <w:rFonts w:ascii="仿宋" w:hAnsi="仿宋" w:eastAsia="仿宋" w:cs="仿宋"/>
          <w:sz w:val="24"/>
          <w:szCs w:val="24"/>
          <w:u w:val="single"/>
        </w:rPr>
      </w:pPr>
      <w:r>
        <w:rPr>
          <w:rFonts w:hint="eastAsia" w:ascii="仿宋" w:hAnsi="仿宋" w:eastAsia="仿宋" w:cs="仿宋"/>
          <w:sz w:val="24"/>
          <w:szCs w:val="24"/>
          <w:u w:val="single"/>
        </w:rPr>
        <w:t>南通市养老服务指导中心：</w:t>
      </w:r>
    </w:p>
    <w:p w14:paraId="2A08E3F7">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依据贵单位组织的</w:t>
      </w:r>
      <w:r>
        <w:rPr>
          <w:rFonts w:hint="eastAsia" w:ascii="仿宋" w:hAnsi="仿宋" w:eastAsia="仿宋" w:cs="仿宋"/>
          <w:sz w:val="24"/>
          <w:szCs w:val="24"/>
          <w:u w:val="single"/>
        </w:rPr>
        <w:t xml:space="preserve">               </w:t>
      </w:r>
      <w:r>
        <w:rPr>
          <w:rFonts w:hint="eastAsia" w:ascii="仿宋" w:hAnsi="仿宋" w:eastAsia="仿宋" w:cs="仿宋"/>
          <w:sz w:val="24"/>
          <w:szCs w:val="24"/>
        </w:rPr>
        <w:t>（磋商项目名称)项目竞争性磋商的邀请，我方授权</w:t>
      </w:r>
      <w:r>
        <w:rPr>
          <w:rFonts w:hint="eastAsia" w:ascii="仿宋" w:hAnsi="仿宋" w:eastAsia="仿宋" w:cs="仿宋"/>
          <w:sz w:val="24"/>
          <w:szCs w:val="24"/>
          <w:u w:val="single"/>
        </w:rPr>
        <w:t xml:space="preserve">    </w:t>
      </w: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（职务）为全权代表参加该项目的磋商工作，全权处理本次竞争性磋商的有关事宜。同时，我公司声明如下：</w:t>
      </w:r>
    </w:p>
    <w:p w14:paraId="1B8B38B0">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1、同意并接受竞争性磋商文件的各项要求，遵守竞争性磋商文件中的各项规定，按竞争性磋商文件的要求提供报价。</w:t>
      </w:r>
    </w:p>
    <w:p w14:paraId="6D1422CF">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2、我公司已经详细阅读了竞争性磋商文件的全部内容，我方已完全清晰理解竞争性磋商文件的要求，不存在任何含糊不清和误解之处，同意放弃对竞争性磋商文件所表述的内容提出异议和质疑的权利。</w:t>
      </w:r>
    </w:p>
    <w:p w14:paraId="5E804BC6">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3、我公司已毫无保留地向贵方提供一切所需的证明材料。</w:t>
      </w:r>
    </w:p>
    <w:p w14:paraId="746C30BF">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4、我公司承诺在本次磋商响应中提供的一切文件，无论是原件还是复印件均真实有效，绝无任何虚假、伪造和夸大的成份。否则，愿承担相应的后果和法律责任。</w:t>
      </w:r>
    </w:p>
    <w:p w14:paraId="28DDD419">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5、一旦成交，我方承诺无正当理由拒绝签订合同，将被贵方取消成交资格。</w:t>
      </w:r>
    </w:p>
    <w:p w14:paraId="25741257">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b/>
          <w:bCs/>
          <w:sz w:val="24"/>
          <w:szCs w:val="24"/>
        </w:rPr>
        <w:t>一旦成交，我方将根据竞争性磋商文件的规定，严格履行合同规定的责任和义务，并保证在竞争性磋商文件中规定的时间期限内完成合同项目。</w:t>
      </w:r>
    </w:p>
    <w:p w14:paraId="6DBF50AE">
      <w:pPr>
        <w:snapToGrid w:val="0"/>
        <w:spacing w:line="440" w:lineRule="exact"/>
        <w:ind w:firstLine="480" w:firstLineChars="200"/>
        <w:rPr>
          <w:rFonts w:ascii="仿宋" w:hAnsi="仿宋" w:eastAsia="仿宋" w:cs="仿宋"/>
          <w:sz w:val="24"/>
          <w:szCs w:val="24"/>
        </w:rPr>
      </w:pPr>
    </w:p>
    <w:p w14:paraId="1DA2F8EE">
      <w:pPr>
        <w:snapToGrid w:val="0"/>
        <w:spacing w:line="440" w:lineRule="exact"/>
        <w:jc w:val="right"/>
        <w:rPr>
          <w:rFonts w:ascii="仿宋" w:hAnsi="仿宋" w:eastAsia="仿宋" w:cs="仿宋"/>
          <w:sz w:val="24"/>
          <w:szCs w:val="24"/>
        </w:rPr>
      </w:pPr>
      <w:r>
        <w:rPr>
          <w:rFonts w:hint="eastAsia" w:ascii="仿宋" w:hAnsi="仿宋" w:eastAsia="仿宋" w:cs="仿宋"/>
          <w:sz w:val="24"/>
          <w:szCs w:val="24"/>
        </w:rPr>
        <w:t>竞争性磋商响应单位：</w:t>
      </w:r>
      <w:r>
        <w:rPr>
          <w:rFonts w:hint="eastAsia" w:ascii="仿宋" w:hAnsi="仿宋" w:eastAsia="仿宋" w:cs="仿宋"/>
          <w:sz w:val="24"/>
          <w:szCs w:val="24"/>
          <w:u w:val="single"/>
        </w:rPr>
        <w:t xml:space="preserve">                    </w:t>
      </w:r>
      <w:r>
        <w:rPr>
          <w:rFonts w:hint="eastAsia" w:ascii="仿宋" w:hAnsi="仿宋" w:eastAsia="仿宋" w:cs="仿宋"/>
          <w:sz w:val="24"/>
          <w:szCs w:val="24"/>
        </w:rPr>
        <w:t>（加盖公章）</w:t>
      </w:r>
    </w:p>
    <w:p w14:paraId="0E521078">
      <w:pPr>
        <w:snapToGrid w:val="0"/>
        <w:spacing w:line="440" w:lineRule="exact"/>
        <w:ind w:firstLine="2400" w:firstLineChars="1000"/>
        <w:jc w:val="right"/>
        <w:rPr>
          <w:rFonts w:ascii="仿宋" w:hAnsi="仿宋" w:eastAsia="仿宋" w:cs="仿宋"/>
          <w:sz w:val="24"/>
          <w:szCs w:val="24"/>
        </w:rPr>
      </w:pPr>
      <w:r>
        <w:rPr>
          <w:rFonts w:hint="eastAsia" w:ascii="仿宋" w:hAnsi="仿宋" w:eastAsia="仿宋" w:cs="仿宋"/>
          <w:sz w:val="24"/>
          <w:szCs w:val="24"/>
        </w:rPr>
        <w:t>法定代表人或被授权人：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p>
    <w:p w14:paraId="34FE5534">
      <w:pPr>
        <w:snapToGrid w:val="0"/>
        <w:spacing w:line="440" w:lineRule="exact"/>
        <w:jc w:val="right"/>
        <w:rPr>
          <w:rFonts w:ascii="仿宋" w:hAnsi="仿宋" w:eastAsia="仿宋" w:cs="仿宋"/>
          <w:sz w:val="24"/>
          <w:szCs w:val="24"/>
        </w:rPr>
      </w:pPr>
      <w:r>
        <w:rPr>
          <w:rFonts w:hint="eastAsia" w:ascii="仿宋" w:hAnsi="仿宋" w:eastAsia="仿宋" w:cs="仿宋"/>
          <w:sz w:val="24"/>
          <w:szCs w:val="24"/>
        </w:rPr>
        <w:t xml:space="preserve"> 年      月     日</w:t>
      </w:r>
    </w:p>
    <w:p w14:paraId="79A6D2B2">
      <w:pPr>
        <w:snapToGrid w:val="0"/>
        <w:spacing w:line="440" w:lineRule="exact"/>
        <w:jc w:val="center"/>
        <w:outlineLvl w:val="3"/>
        <w:rPr>
          <w:rFonts w:ascii="仿宋" w:hAnsi="仿宋" w:eastAsia="仿宋" w:cs="仿宋"/>
          <w:b/>
          <w:bCs/>
          <w:sz w:val="24"/>
          <w:szCs w:val="24"/>
        </w:rPr>
      </w:pPr>
    </w:p>
    <w:p w14:paraId="1D4AB3AD">
      <w:pPr>
        <w:snapToGrid w:val="0"/>
        <w:spacing w:line="440" w:lineRule="exact"/>
        <w:jc w:val="center"/>
        <w:outlineLvl w:val="3"/>
        <w:rPr>
          <w:rFonts w:ascii="仿宋" w:hAnsi="仿宋" w:eastAsia="仿宋" w:cs="仿宋"/>
          <w:b/>
          <w:bCs/>
          <w:sz w:val="24"/>
          <w:szCs w:val="24"/>
        </w:rPr>
      </w:pPr>
    </w:p>
    <w:p w14:paraId="417B77DE">
      <w:pPr>
        <w:pStyle w:val="110"/>
        <w:snapToGrid w:val="0"/>
        <w:spacing w:line="440" w:lineRule="exact"/>
        <w:ind w:firstLine="0" w:firstLineChars="0"/>
        <w:contextualSpacing/>
        <w:jc w:val="center"/>
        <w:rPr>
          <w:rFonts w:ascii="仿宋" w:hAnsi="仿宋" w:eastAsia="仿宋" w:cs="仿宋"/>
          <w:b/>
          <w:bCs/>
          <w:sz w:val="24"/>
          <w:szCs w:val="24"/>
        </w:rPr>
      </w:pPr>
      <w:bookmarkStart w:id="36" w:name="_Toc425960671"/>
      <w:r>
        <w:rPr>
          <w:rFonts w:hint="eastAsia" w:ascii="仿宋" w:hAnsi="仿宋" w:eastAsia="仿宋" w:cs="仿宋"/>
          <w:b/>
          <w:bCs/>
          <w:sz w:val="24"/>
          <w:szCs w:val="24"/>
        </w:rPr>
        <w:br w:type="page"/>
      </w:r>
      <w:bookmarkEnd w:id="36"/>
    </w:p>
    <w:p w14:paraId="3FD1FB69">
      <w:pPr>
        <w:spacing w:line="440" w:lineRule="exact"/>
        <w:jc w:val="center"/>
        <w:rPr>
          <w:rFonts w:ascii="仿宋" w:hAnsi="仿宋" w:eastAsia="仿宋" w:cs="仿宋"/>
          <w:b/>
          <w:bCs/>
          <w:sz w:val="24"/>
          <w:szCs w:val="24"/>
        </w:rPr>
      </w:pPr>
    </w:p>
    <w:p w14:paraId="2679AE45">
      <w:pPr>
        <w:spacing w:line="440" w:lineRule="exact"/>
        <w:jc w:val="center"/>
        <w:rPr>
          <w:rFonts w:ascii="仿宋" w:hAnsi="仿宋" w:eastAsia="仿宋" w:cs="仿宋"/>
          <w:b/>
          <w:bCs/>
          <w:sz w:val="24"/>
          <w:szCs w:val="24"/>
        </w:rPr>
      </w:pPr>
      <w:r>
        <w:rPr>
          <w:rFonts w:hint="eastAsia" w:ascii="仿宋" w:hAnsi="仿宋" w:eastAsia="仿宋" w:cs="仿宋"/>
          <w:b/>
          <w:bCs/>
          <w:sz w:val="24"/>
          <w:szCs w:val="24"/>
        </w:rPr>
        <w:t>7、磋商响应报价表</w:t>
      </w:r>
    </w:p>
    <w:p w14:paraId="568CF7F6">
      <w:pPr>
        <w:spacing w:line="440" w:lineRule="exact"/>
        <w:ind w:left="1133" w:hanging="1132" w:hangingChars="472"/>
        <w:rPr>
          <w:rFonts w:ascii="仿宋" w:hAnsi="仿宋" w:eastAsia="仿宋"/>
          <w:color w:val="000000"/>
          <w:sz w:val="24"/>
          <w:szCs w:val="24"/>
        </w:rPr>
      </w:pPr>
      <w:r>
        <w:rPr>
          <w:rFonts w:ascii="仿宋" w:hAnsi="仿宋" w:eastAsia="仿宋"/>
          <w:color w:val="000000"/>
          <w:sz w:val="24"/>
          <w:szCs w:val="24"/>
        </w:rPr>
        <w:t>项目</w:t>
      </w:r>
      <w:r>
        <w:rPr>
          <w:rFonts w:hint="eastAsia" w:ascii="仿宋" w:hAnsi="仿宋" w:eastAsia="仿宋"/>
          <w:color w:val="000000"/>
          <w:sz w:val="24"/>
          <w:szCs w:val="24"/>
        </w:rPr>
        <w:t>名称</w:t>
      </w:r>
      <w:r>
        <w:rPr>
          <w:rFonts w:ascii="仿宋" w:hAnsi="仿宋" w:eastAsia="仿宋"/>
          <w:color w:val="000000"/>
          <w:sz w:val="24"/>
          <w:szCs w:val="24"/>
        </w:rPr>
        <w:t>：</w:t>
      </w:r>
      <w:r>
        <w:rPr>
          <w:rFonts w:hint="eastAsia" w:ascii="仿宋" w:hAnsi="仿宋" w:eastAsia="仿宋"/>
          <w:color w:val="000000"/>
          <w:sz w:val="24"/>
          <w:szCs w:val="24"/>
        </w:rPr>
        <w:t>南通市养老服务指导中心绿化养护及盆栽租摆服务项目</w:t>
      </w:r>
    </w:p>
    <w:tbl>
      <w:tblPr>
        <w:tblStyle w:val="51"/>
        <w:tblW w:w="94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93"/>
        <w:gridCol w:w="3780"/>
        <w:gridCol w:w="1830"/>
        <w:gridCol w:w="1666"/>
      </w:tblGrid>
      <w:tr w14:paraId="6474D3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193" w:type="dxa"/>
            <w:tcBorders>
              <w:top w:val="single" w:color="auto" w:sz="4" w:space="0"/>
              <w:left w:val="single" w:color="auto" w:sz="4" w:space="0"/>
              <w:bottom w:val="single" w:color="auto" w:sz="4" w:space="0"/>
              <w:right w:val="single" w:color="auto" w:sz="4" w:space="0"/>
            </w:tcBorders>
            <w:vAlign w:val="center"/>
          </w:tcPr>
          <w:p w14:paraId="75B76F58">
            <w:pPr>
              <w:kinsoku w:val="0"/>
              <w:topLinePunct/>
              <w:spacing w:line="440" w:lineRule="exact"/>
              <w:jc w:val="center"/>
              <w:rPr>
                <w:rFonts w:ascii="仿宋" w:hAnsi="仿宋" w:eastAsia="仿宋"/>
                <w:color w:val="000000"/>
                <w:sz w:val="24"/>
                <w:szCs w:val="24"/>
              </w:rPr>
            </w:pPr>
            <w:r>
              <w:rPr>
                <w:rFonts w:ascii="仿宋" w:hAnsi="仿宋" w:eastAsia="仿宋"/>
                <w:color w:val="000000"/>
                <w:sz w:val="24"/>
                <w:szCs w:val="24"/>
              </w:rPr>
              <w:t>项目名称</w:t>
            </w:r>
          </w:p>
        </w:tc>
        <w:tc>
          <w:tcPr>
            <w:tcW w:w="3780" w:type="dxa"/>
            <w:tcBorders>
              <w:top w:val="single" w:color="auto" w:sz="4" w:space="0"/>
              <w:left w:val="single" w:color="auto" w:sz="4" w:space="0"/>
              <w:bottom w:val="single" w:color="auto" w:sz="4" w:space="0"/>
              <w:right w:val="single" w:color="auto" w:sz="4" w:space="0"/>
            </w:tcBorders>
            <w:vAlign w:val="center"/>
          </w:tcPr>
          <w:p w14:paraId="0009D2EB">
            <w:pPr>
              <w:kinsoku w:val="0"/>
              <w:topLinePunct/>
              <w:spacing w:line="440" w:lineRule="exact"/>
              <w:jc w:val="center"/>
              <w:rPr>
                <w:rFonts w:ascii="仿宋" w:hAnsi="仿宋" w:eastAsia="仿宋"/>
                <w:color w:val="000000"/>
                <w:sz w:val="24"/>
                <w:szCs w:val="24"/>
              </w:rPr>
            </w:pPr>
            <w:r>
              <w:rPr>
                <w:rFonts w:ascii="仿宋" w:hAnsi="仿宋" w:eastAsia="仿宋"/>
                <w:color w:val="000000"/>
                <w:sz w:val="24"/>
                <w:szCs w:val="24"/>
              </w:rPr>
              <w:t>报价（元）</w:t>
            </w:r>
          </w:p>
        </w:tc>
        <w:tc>
          <w:tcPr>
            <w:tcW w:w="1830" w:type="dxa"/>
            <w:tcBorders>
              <w:top w:val="single" w:color="auto" w:sz="4" w:space="0"/>
              <w:left w:val="single" w:color="auto" w:sz="4" w:space="0"/>
              <w:bottom w:val="single" w:color="auto" w:sz="4" w:space="0"/>
              <w:right w:val="single" w:color="auto" w:sz="4" w:space="0"/>
            </w:tcBorders>
            <w:vAlign w:val="center"/>
          </w:tcPr>
          <w:p w14:paraId="22D3B990">
            <w:pPr>
              <w:kinsoku w:val="0"/>
              <w:topLinePunct/>
              <w:spacing w:line="440" w:lineRule="exact"/>
              <w:jc w:val="center"/>
              <w:rPr>
                <w:rFonts w:ascii="仿宋" w:hAnsi="仿宋" w:eastAsia="仿宋"/>
                <w:color w:val="000000"/>
                <w:sz w:val="24"/>
                <w:szCs w:val="24"/>
              </w:rPr>
            </w:pPr>
            <w:r>
              <w:rPr>
                <w:rFonts w:ascii="仿宋" w:hAnsi="仿宋" w:eastAsia="仿宋"/>
                <w:color w:val="000000"/>
                <w:sz w:val="24"/>
                <w:szCs w:val="24"/>
              </w:rPr>
              <w:t>项目完成时间</w:t>
            </w:r>
          </w:p>
        </w:tc>
        <w:tc>
          <w:tcPr>
            <w:tcW w:w="1666" w:type="dxa"/>
            <w:tcBorders>
              <w:top w:val="single" w:color="auto" w:sz="4" w:space="0"/>
              <w:left w:val="single" w:color="auto" w:sz="4" w:space="0"/>
              <w:bottom w:val="single" w:color="auto" w:sz="4" w:space="0"/>
              <w:right w:val="single" w:color="auto" w:sz="4" w:space="0"/>
            </w:tcBorders>
            <w:vAlign w:val="center"/>
          </w:tcPr>
          <w:p w14:paraId="7251EFAE">
            <w:pPr>
              <w:kinsoku w:val="0"/>
              <w:topLinePunct/>
              <w:spacing w:line="440" w:lineRule="exact"/>
              <w:jc w:val="center"/>
              <w:rPr>
                <w:rFonts w:ascii="仿宋" w:hAnsi="仿宋" w:eastAsia="仿宋"/>
                <w:color w:val="000000"/>
                <w:sz w:val="24"/>
                <w:szCs w:val="24"/>
              </w:rPr>
            </w:pPr>
            <w:r>
              <w:rPr>
                <w:rFonts w:ascii="仿宋" w:hAnsi="仿宋" w:eastAsia="仿宋"/>
                <w:color w:val="000000"/>
                <w:sz w:val="24"/>
                <w:szCs w:val="24"/>
              </w:rPr>
              <w:t>付款方式</w:t>
            </w:r>
          </w:p>
        </w:tc>
      </w:tr>
      <w:tr w14:paraId="132712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2193" w:type="dxa"/>
            <w:tcBorders>
              <w:top w:val="single" w:color="auto" w:sz="4" w:space="0"/>
              <w:left w:val="single" w:color="auto" w:sz="4" w:space="0"/>
              <w:bottom w:val="single" w:color="auto" w:sz="4" w:space="0"/>
              <w:right w:val="single" w:color="auto" w:sz="4" w:space="0"/>
            </w:tcBorders>
            <w:vAlign w:val="center"/>
          </w:tcPr>
          <w:p w14:paraId="66FA1208">
            <w:pPr>
              <w:kinsoku w:val="0"/>
              <w:topLinePunct/>
              <w:spacing w:line="440" w:lineRule="exact"/>
              <w:rPr>
                <w:rFonts w:ascii="仿宋" w:hAnsi="仿宋" w:eastAsia="仿宋"/>
                <w:color w:val="000000"/>
                <w:sz w:val="24"/>
                <w:szCs w:val="24"/>
              </w:rPr>
            </w:pPr>
            <w:r>
              <w:rPr>
                <w:rFonts w:hint="eastAsia" w:ascii="仿宋" w:hAnsi="仿宋" w:eastAsia="仿宋"/>
                <w:color w:val="000000"/>
                <w:sz w:val="24"/>
                <w:szCs w:val="24"/>
              </w:rPr>
              <w:t>南通市养老服务指导中心绿化养护及盆栽租摆服务项目</w:t>
            </w:r>
          </w:p>
        </w:tc>
        <w:tc>
          <w:tcPr>
            <w:tcW w:w="3780" w:type="dxa"/>
            <w:tcBorders>
              <w:top w:val="single" w:color="auto" w:sz="4" w:space="0"/>
              <w:left w:val="single" w:color="auto" w:sz="4" w:space="0"/>
              <w:bottom w:val="single" w:color="auto" w:sz="4" w:space="0"/>
              <w:right w:val="single" w:color="auto" w:sz="4" w:space="0"/>
            </w:tcBorders>
            <w:vAlign w:val="center"/>
          </w:tcPr>
          <w:p w14:paraId="55DF151C">
            <w:pPr>
              <w:kinsoku w:val="0"/>
              <w:topLinePunct/>
              <w:spacing w:line="440" w:lineRule="exact"/>
              <w:rPr>
                <w:rFonts w:ascii="仿宋" w:hAnsi="仿宋" w:eastAsia="仿宋"/>
                <w:b/>
                <w:color w:val="000000"/>
                <w:sz w:val="24"/>
                <w:szCs w:val="24"/>
              </w:rPr>
            </w:pPr>
            <w:r>
              <w:rPr>
                <w:rFonts w:ascii="仿宋" w:hAnsi="仿宋" w:eastAsia="仿宋"/>
                <w:b/>
                <w:color w:val="000000"/>
                <w:sz w:val="24"/>
                <w:szCs w:val="24"/>
              </w:rPr>
              <w:t>大写：</w:t>
            </w:r>
          </w:p>
          <w:p w14:paraId="1E691213">
            <w:pPr>
              <w:kinsoku w:val="0"/>
              <w:topLinePunct/>
              <w:spacing w:line="440" w:lineRule="exact"/>
              <w:rPr>
                <w:rFonts w:ascii="仿宋" w:hAnsi="仿宋" w:eastAsia="仿宋"/>
                <w:color w:val="000000"/>
                <w:sz w:val="24"/>
                <w:szCs w:val="24"/>
              </w:rPr>
            </w:pPr>
            <w:r>
              <w:rPr>
                <w:rFonts w:ascii="仿宋" w:hAnsi="仿宋" w:eastAsia="仿宋"/>
                <w:b/>
                <w:color w:val="000000"/>
                <w:sz w:val="24"/>
                <w:szCs w:val="24"/>
              </w:rPr>
              <w:t>小写：</w:t>
            </w:r>
          </w:p>
        </w:tc>
        <w:tc>
          <w:tcPr>
            <w:tcW w:w="1830" w:type="dxa"/>
            <w:tcBorders>
              <w:top w:val="single" w:color="auto" w:sz="4" w:space="0"/>
              <w:left w:val="single" w:color="auto" w:sz="4" w:space="0"/>
              <w:bottom w:val="single" w:color="auto" w:sz="4" w:space="0"/>
              <w:right w:val="single" w:color="auto" w:sz="4" w:space="0"/>
            </w:tcBorders>
            <w:vAlign w:val="center"/>
          </w:tcPr>
          <w:p w14:paraId="57BFCA04">
            <w:pPr>
              <w:kinsoku w:val="0"/>
              <w:topLinePunct/>
              <w:spacing w:line="440" w:lineRule="exact"/>
              <w:rPr>
                <w:rFonts w:ascii="仿宋" w:hAnsi="仿宋" w:eastAsia="仿宋"/>
                <w:color w:val="000000"/>
                <w:sz w:val="24"/>
                <w:szCs w:val="24"/>
              </w:rPr>
            </w:pPr>
            <w:r>
              <w:rPr>
                <w:rFonts w:ascii="仿宋" w:hAnsi="仿宋" w:eastAsia="仿宋"/>
                <w:color w:val="000000"/>
                <w:sz w:val="24"/>
                <w:szCs w:val="24"/>
              </w:rPr>
              <w:t>完全响应磋商文件要求</w:t>
            </w:r>
          </w:p>
        </w:tc>
        <w:tc>
          <w:tcPr>
            <w:tcW w:w="1666" w:type="dxa"/>
            <w:tcBorders>
              <w:top w:val="single" w:color="auto" w:sz="4" w:space="0"/>
              <w:left w:val="single" w:color="auto" w:sz="4" w:space="0"/>
              <w:bottom w:val="single" w:color="auto" w:sz="4" w:space="0"/>
              <w:right w:val="single" w:color="auto" w:sz="4" w:space="0"/>
            </w:tcBorders>
          </w:tcPr>
          <w:p w14:paraId="0E48CA00">
            <w:pPr>
              <w:kinsoku w:val="0"/>
              <w:topLinePunct/>
              <w:spacing w:line="440" w:lineRule="exact"/>
              <w:rPr>
                <w:rFonts w:ascii="仿宋" w:hAnsi="仿宋" w:eastAsia="仿宋"/>
                <w:color w:val="000000"/>
                <w:sz w:val="24"/>
                <w:szCs w:val="24"/>
              </w:rPr>
            </w:pPr>
            <w:r>
              <w:rPr>
                <w:rFonts w:ascii="仿宋" w:hAnsi="仿宋" w:eastAsia="仿宋"/>
                <w:color w:val="000000"/>
                <w:sz w:val="24"/>
                <w:szCs w:val="24"/>
              </w:rPr>
              <w:t>完全响应磋商文件要求的付款方式</w:t>
            </w:r>
          </w:p>
        </w:tc>
      </w:tr>
    </w:tbl>
    <w:p w14:paraId="303A4476">
      <w:pPr>
        <w:spacing w:line="440" w:lineRule="exact"/>
        <w:ind w:left="1133" w:hanging="1132" w:hangingChars="472"/>
        <w:rPr>
          <w:rFonts w:ascii="仿宋" w:hAnsi="仿宋" w:eastAsia="仿宋"/>
          <w:color w:val="000000"/>
          <w:sz w:val="24"/>
          <w:szCs w:val="24"/>
        </w:rPr>
      </w:pPr>
      <w:r>
        <w:rPr>
          <w:rFonts w:hint="eastAsia" w:ascii="仿宋" w:hAnsi="仿宋" w:eastAsia="仿宋" w:cs="仿宋"/>
          <w:sz w:val="24"/>
          <w:szCs w:val="24"/>
        </w:rPr>
        <w:t>竞争性磋商响应单位</w:t>
      </w:r>
      <w:r>
        <w:rPr>
          <w:rFonts w:ascii="仿宋" w:hAnsi="仿宋" w:eastAsia="仿宋"/>
          <w:color w:val="000000"/>
          <w:sz w:val="24"/>
          <w:szCs w:val="24"/>
        </w:rPr>
        <w:t xml:space="preserve">：（盖章）             </w:t>
      </w:r>
    </w:p>
    <w:p w14:paraId="4FF8160A">
      <w:pPr>
        <w:spacing w:line="440" w:lineRule="exact"/>
        <w:ind w:left="1133" w:hanging="1132" w:hangingChars="472"/>
        <w:rPr>
          <w:rFonts w:ascii="仿宋" w:hAnsi="仿宋" w:eastAsia="仿宋"/>
          <w:color w:val="000000"/>
          <w:sz w:val="24"/>
          <w:szCs w:val="24"/>
        </w:rPr>
      </w:pPr>
      <w:r>
        <w:rPr>
          <w:rFonts w:ascii="仿宋" w:hAnsi="仿宋" w:eastAsia="仿宋"/>
          <w:color w:val="000000"/>
          <w:sz w:val="24"/>
          <w:szCs w:val="24"/>
        </w:rPr>
        <w:t>法定代表人或被委托受权人（签字）：</w:t>
      </w:r>
    </w:p>
    <w:p w14:paraId="1C789735">
      <w:pPr>
        <w:spacing w:line="440" w:lineRule="exact"/>
        <w:ind w:left="1133" w:hanging="1132" w:hangingChars="472"/>
        <w:rPr>
          <w:rFonts w:ascii="仿宋" w:hAnsi="仿宋" w:eastAsia="仿宋"/>
          <w:color w:val="000000"/>
          <w:sz w:val="24"/>
          <w:szCs w:val="24"/>
        </w:rPr>
      </w:pPr>
      <w:r>
        <w:rPr>
          <w:rFonts w:ascii="仿宋" w:hAnsi="仿宋" w:eastAsia="仿宋"/>
          <w:color w:val="000000"/>
          <w:sz w:val="24"/>
          <w:szCs w:val="24"/>
        </w:rPr>
        <w:t>日期：</w:t>
      </w:r>
    </w:p>
    <w:p w14:paraId="71E82D00">
      <w:pPr>
        <w:spacing w:line="440" w:lineRule="exact"/>
        <w:ind w:firstLine="566" w:firstLineChars="236"/>
        <w:rPr>
          <w:rFonts w:ascii="仿宋" w:hAnsi="仿宋" w:eastAsia="仿宋"/>
          <w:color w:val="000000"/>
          <w:sz w:val="24"/>
          <w:szCs w:val="24"/>
        </w:rPr>
      </w:pPr>
      <w:r>
        <w:rPr>
          <w:rFonts w:ascii="仿宋" w:hAnsi="仿宋" w:eastAsia="仿宋"/>
          <w:color w:val="000000"/>
          <w:sz w:val="24"/>
          <w:szCs w:val="24"/>
        </w:rPr>
        <w:t>注：</w:t>
      </w:r>
    </w:p>
    <w:p w14:paraId="36DBA8F1">
      <w:pPr>
        <w:spacing w:line="440" w:lineRule="exact"/>
        <w:ind w:firstLine="480" w:firstLineChars="200"/>
        <w:rPr>
          <w:rFonts w:ascii="仿宋" w:hAnsi="仿宋" w:eastAsia="仿宋"/>
          <w:color w:val="000000"/>
          <w:sz w:val="24"/>
          <w:szCs w:val="24"/>
        </w:rPr>
      </w:pPr>
      <w:r>
        <w:rPr>
          <w:rFonts w:ascii="仿宋" w:hAnsi="仿宋" w:eastAsia="仿宋"/>
          <w:color w:val="000000"/>
          <w:sz w:val="24"/>
          <w:szCs w:val="24"/>
        </w:rPr>
        <w:t>（1）本表为格式表，不得自行改动，必须提供，否则视为未实质性响应磋商采购文件。</w:t>
      </w:r>
    </w:p>
    <w:p w14:paraId="57A4BA3E">
      <w:pPr>
        <w:spacing w:line="440" w:lineRule="exact"/>
        <w:ind w:firstLine="480" w:firstLineChars="200"/>
        <w:rPr>
          <w:rFonts w:ascii="仿宋" w:hAnsi="仿宋" w:eastAsia="仿宋"/>
          <w:color w:val="000000"/>
          <w:sz w:val="24"/>
          <w:szCs w:val="24"/>
        </w:rPr>
      </w:pPr>
      <w:r>
        <w:rPr>
          <w:rFonts w:ascii="仿宋" w:hAnsi="仿宋" w:eastAsia="仿宋"/>
          <w:color w:val="000000"/>
          <w:sz w:val="24"/>
          <w:szCs w:val="24"/>
        </w:rPr>
        <w:t>（2）说明：供应商的报价不得高于最高限价，超过该限价作无效磋商处理。</w:t>
      </w:r>
    </w:p>
    <w:p w14:paraId="63313C61">
      <w:pPr>
        <w:spacing w:line="440" w:lineRule="exact"/>
        <w:ind w:firstLine="480" w:firstLineChars="200"/>
        <w:rPr>
          <w:rFonts w:ascii="仿宋" w:hAnsi="仿宋" w:eastAsia="仿宋"/>
          <w:color w:val="000000"/>
          <w:sz w:val="24"/>
          <w:szCs w:val="24"/>
        </w:rPr>
      </w:pPr>
      <w:r>
        <w:rPr>
          <w:rFonts w:ascii="仿宋" w:hAnsi="仿宋" w:eastAsia="仿宋"/>
          <w:color w:val="000000"/>
          <w:sz w:val="24"/>
          <w:szCs w:val="24"/>
        </w:rPr>
        <w:t>（3）磋商总报价应包括：为完成合同规定的全部工作所需支付的一切费用。</w:t>
      </w:r>
    </w:p>
    <w:p w14:paraId="7C0BAE17">
      <w:pPr>
        <w:pStyle w:val="50"/>
        <w:spacing w:after="0" w:line="440" w:lineRule="exact"/>
        <w:ind w:firstLine="964" w:firstLineChars="400"/>
        <w:rPr>
          <w:rFonts w:ascii="仿宋" w:hAnsi="仿宋" w:eastAsia="仿宋" w:cs="仿宋"/>
          <w:b/>
          <w:bCs/>
        </w:rPr>
      </w:pPr>
    </w:p>
    <w:p w14:paraId="7A32D86E">
      <w:pPr>
        <w:spacing w:line="440" w:lineRule="exact"/>
        <w:jc w:val="center"/>
        <w:rPr>
          <w:rFonts w:ascii="仿宋" w:hAnsi="仿宋" w:eastAsia="仿宋" w:cs="仿宋"/>
          <w:b/>
          <w:bCs/>
          <w:sz w:val="24"/>
          <w:szCs w:val="24"/>
        </w:rPr>
      </w:pPr>
    </w:p>
    <w:p w14:paraId="465A4B74">
      <w:pPr>
        <w:spacing w:line="440" w:lineRule="exact"/>
        <w:jc w:val="center"/>
        <w:rPr>
          <w:rFonts w:ascii="仿宋" w:hAnsi="仿宋" w:eastAsia="仿宋" w:cs="仿宋"/>
          <w:b/>
          <w:bCs/>
          <w:sz w:val="24"/>
          <w:szCs w:val="24"/>
        </w:rPr>
      </w:pPr>
    </w:p>
    <w:p w14:paraId="7F9D8946">
      <w:pPr>
        <w:spacing w:line="440" w:lineRule="exact"/>
        <w:jc w:val="center"/>
        <w:rPr>
          <w:rFonts w:ascii="仿宋" w:hAnsi="仿宋" w:eastAsia="仿宋" w:cs="仿宋"/>
          <w:b/>
          <w:bCs/>
          <w:sz w:val="24"/>
          <w:szCs w:val="24"/>
        </w:rPr>
      </w:pPr>
    </w:p>
    <w:p w14:paraId="6582BDAF">
      <w:pPr>
        <w:spacing w:line="440" w:lineRule="exact"/>
        <w:jc w:val="center"/>
        <w:rPr>
          <w:rFonts w:ascii="仿宋" w:hAnsi="仿宋" w:eastAsia="仿宋" w:cs="仿宋"/>
          <w:b/>
          <w:bCs/>
          <w:sz w:val="24"/>
          <w:szCs w:val="24"/>
        </w:rPr>
      </w:pPr>
    </w:p>
    <w:p w14:paraId="452CCA35">
      <w:pPr>
        <w:spacing w:line="440" w:lineRule="exact"/>
        <w:jc w:val="center"/>
        <w:rPr>
          <w:rFonts w:ascii="仿宋" w:hAnsi="仿宋" w:eastAsia="仿宋" w:cs="仿宋"/>
          <w:b/>
          <w:bCs/>
          <w:sz w:val="24"/>
          <w:szCs w:val="24"/>
        </w:rPr>
      </w:pPr>
    </w:p>
    <w:p w14:paraId="42184377">
      <w:pPr>
        <w:spacing w:line="440" w:lineRule="exact"/>
        <w:jc w:val="center"/>
        <w:rPr>
          <w:rFonts w:ascii="仿宋" w:hAnsi="仿宋" w:eastAsia="仿宋" w:cs="仿宋"/>
          <w:b/>
          <w:bCs/>
          <w:sz w:val="24"/>
          <w:szCs w:val="24"/>
        </w:rPr>
      </w:pPr>
    </w:p>
    <w:p w14:paraId="089983FE">
      <w:pPr>
        <w:spacing w:line="440" w:lineRule="exact"/>
        <w:jc w:val="center"/>
        <w:rPr>
          <w:rFonts w:ascii="仿宋" w:hAnsi="仿宋" w:eastAsia="仿宋" w:cs="仿宋"/>
          <w:b/>
          <w:bCs/>
          <w:sz w:val="24"/>
          <w:szCs w:val="24"/>
        </w:rPr>
      </w:pPr>
    </w:p>
    <w:p w14:paraId="5B8995C7">
      <w:pPr>
        <w:spacing w:line="440" w:lineRule="exact"/>
        <w:jc w:val="center"/>
        <w:rPr>
          <w:rFonts w:ascii="仿宋" w:hAnsi="仿宋" w:eastAsia="仿宋" w:cs="仿宋"/>
          <w:b/>
          <w:bCs/>
          <w:sz w:val="24"/>
          <w:szCs w:val="24"/>
        </w:rPr>
      </w:pPr>
    </w:p>
    <w:p w14:paraId="33974E5F">
      <w:pPr>
        <w:spacing w:line="440" w:lineRule="exact"/>
        <w:jc w:val="center"/>
        <w:rPr>
          <w:rFonts w:ascii="仿宋" w:hAnsi="仿宋" w:eastAsia="仿宋" w:cs="仿宋"/>
          <w:b/>
          <w:bCs/>
          <w:sz w:val="24"/>
          <w:szCs w:val="24"/>
        </w:rPr>
      </w:pPr>
    </w:p>
    <w:p w14:paraId="0971129C">
      <w:pPr>
        <w:spacing w:line="440" w:lineRule="exact"/>
        <w:jc w:val="center"/>
        <w:rPr>
          <w:rFonts w:ascii="仿宋" w:hAnsi="仿宋" w:eastAsia="仿宋" w:cs="仿宋"/>
          <w:b/>
          <w:bCs/>
          <w:sz w:val="24"/>
          <w:szCs w:val="24"/>
        </w:rPr>
      </w:pPr>
    </w:p>
    <w:p w14:paraId="4C05F30B">
      <w:pPr>
        <w:spacing w:line="440" w:lineRule="exact"/>
        <w:jc w:val="center"/>
        <w:rPr>
          <w:rFonts w:ascii="仿宋" w:hAnsi="仿宋" w:eastAsia="仿宋" w:cs="仿宋"/>
          <w:b/>
          <w:bCs/>
          <w:sz w:val="24"/>
          <w:szCs w:val="24"/>
        </w:rPr>
      </w:pPr>
    </w:p>
    <w:p w14:paraId="12E67CFA">
      <w:pPr>
        <w:spacing w:line="440" w:lineRule="exact"/>
        <w:jc w:val="center"/>
        <w:rPr>
          <w:rFonts w:ascii="仿宋" w:hAnsi="仿宋" w:eastAsia="仿宋" w:cs="仿宋"/>
          <w:b/>
          <w:bCs/>
          <w:sz w:val="24"/>
          <w:szCs w:val="24"/>
        </w:rPr>
      </w:pPr>
    </w:p>
    <w:p w14:paraId="54154F9E">
      <w:pPr>
        <w:spacing w:line="440" w:lineRule="exact"/>
        <w:jc w:val="center"/>
        <w:rPr>
          <w:rFonts w:ascii="仿宋" w:hAnsi="仿宋" w:eastAsia="仿宋" w:cs="仿宋"/>
          <w:b/>
          <w:bCs/>
          <w:sz w:val="24"/>
          <w:szCs w:val="24"/>
        </w:rPr>
      </w:pPr>
    </w:p>
    <w:p w14:paraId="2666D311">
      <w:pPr>
        <w:spacing w:line="440" w:lineRule="exact"/>
        <w:jc w:val="center"/>
        <w:rPr>
          <w:rFonts w:ascii="仿宋" w:hAnsi="仿宋" w:eastAsia="仿宋" w:cs="仿宋"/>
          <w:b/>
          <w:bCs/>
          <w:sz w:val="24"/>
          <w:szCs w:val="24"/>
        </w:rPr>
      </w:pPr>
    </w:p>
    <w:p w14:paraId="0B7948A0">
      <w:pPr>
        <w:spacing w:line="440" w:lineRule="exact"/>
        <w:jc w:val="center"/>
        <w:rPr>
          <w:rFonts w:ascii="仿宋" w:hAnsi="仿宋" w:eastAsia="仿宋" w:cs="仿宋"/>
          <w:b/>
          <w:bCs/>
          <w:sz w:val="24"/>
          <w:szCs w:val="24"/>
        </w:rPr>
      </w:pPr>
    </w:p>
    <w:p w14:paraId="44A52F92">
      <w:pPr>
        <w:spacing w:line="440" w:lineRule="exact"/>
        <w:jc w:val="center"/>
        <w:rPr>
          <w:rFonts w:ascii="仿宋" w:hAnsi="仿宋" w:eastAsia="仿宋" w:cs="仿宋"/>
          <w:b/>
          <w:bCs/>
          <w:sz w:val="24"/>
          <w:szCs w:val="24"/>
        </w:rPr>
      </w:pPr>
      <w:r>
        <w:rPr>
          <w:rFonts w:hint="eastAsia" w:ascii="仿宋" w:hAnsi="仿宋" w:eastAsia="仿宋" w:cs="仿宋"/>
          <w:b/>
          <w:bCs/>
          <w:sz w:val="24"/>
          <w:szCs w:val="24"/>
        </w:rPr>
        <w:t>8.磋商响应报价明细表（报价明细表中的内容与项目需求一致）</w:t>
      </w:r>
    </w:p>
    <w:p w14:paraId="555FC7BA">
      <w:pPr>
        <w:spacing w:line="440" w:lineRule="exact"/>
        <w:jc w:val="center"/>
        <w:rPr>
          <w:rFonts w:ascii="仿宋" w:hAnsi="仿宋" w:eastAsia="仿宋" w:cs="仿宋"/>
          <w:b/>
          <w:bCs/>
          <w:sz w:val="24"/>
          <w:szCs w:val="24"/>
        </w:rPr>
      </w:pPr>
      <w:r>
        <w:rPr>
          <w:rFonts w:hint="eastAsia" w:ascii="仿宋" w:hAnsi="仿宋" w:eastAsia="仿宋" w:cs="仿宋"/>
          <w:sz w:val="24"/>
          <w:szCs w:val="24"/>
        </w:rPr>
        <w:t>（请按项目需求清单自拟格式提供，须明确数量、单价、总价等具体数值）</w:t>
      </w:r>
    </w:p>
    <w:p w14:paraId="6F712B7D">
      <w:pPr>
        <w:spacing w:line="440" w:lineRule="exact"/>
        <w:jc w:val="center"/>
        <w:rPr>
          <w:rFonts w:ascii="仿宋" w:hAnsi="仿宋" w:eastAsia="仿宋" w:cs="仿宋"/>
          <w:b/>
          <w:bCs/>
          <w:sz w:val="24"/>
          <w:szCs w:val="24"/>
        </w:rPr>
      </w:pPr>
    </w:p>
    <w:p w14:paraId="102D5244">
      <w:pPr>
        <w:spacing w:line="440" w:lineRule="exact"/>
        <w:jc w:val="center"/>
        <w:rPr>
          <w:rFonts w:ascii="仿宋" w:hAnsi="仿宋" w:eastAsia="仿宋" w:cs="仿宋"/>
          <w:b/>
          <w:bCs/>
          <w:sz w:val="24"/>
          <w:szCs w:val="24"/>
        </w:rPr>
      </w:pPr>
    </w:p>
    <w:p w14:paraId="6BC4BD45">
      <w:pPr>
        <w:spacing w:line="440" w:lineRule="exact"/>
        <w:jc w:val="center"/>
        <w:rPr>
          <w:rFonts w:ascii="仿宋" w:hAnsi="仿宋" w:eastAsia="仿宋" w:cs="仿宋"/>
          <w:b/>
          <w:bCs/>
          <w:sz w:val="24"/>
          <w:szCs w:val="24"/>
        </w:rPr>
      </w:pPr>
    </w:p>
    <w:p w14:paraId="38A6A879">
      <w:pPr>
        <w:spacing w:line="440" w:lineRule="exact"/>
        <w:jc w:val="center"/>
        <w:rPr>
          <w:rFonts w:ascii="仿宋" w:hAnsi="仿宋" w:eastAsia="仿宋" w:cs="仿宋"/>
          <w:b/>
          <w:bCs/>
          <w:sz w:val="24"/>
          <w:szCs w:val="24"/>
        </w:rPr>
      </w:pPr>
    </w:p>
    <w:p w14:paraId="55FF02A7">
      <w:pPr>
        <w:spacing w:line="440" w:lineRule="exact"/>
        <w:jc w:val="center"/>
        <w:rPr>
          <w:rFonts w:ascii="仿宋" w:hAnsi="仿宋" w:eastAsia="仿宋" w:cs="仿宋"/>
          <w:b/>
          <w:bCs/>
          <w:sz w:val="24"/>
          <w:szCs w:val="24"/>
        </w:rPr>
      </w:pPr>
    </w:p>
    <w:p w14:paraId="2B5A68F8">
      <w:pPr>
        <w:spacing w:line="440" w:lineRule="exact"/>
        <w:jc w:val="center"/>
        <w:rPr>
          <w:rFonts w:ascii="仿宋" w:hAnsi="仿宋" w:eastAsia="仿宋" w:cs="仿宋"/>
          <w:b/>
          <w:bCs/>
          <w:sz w:val="24"/>
          <w:szCs w:val="24"/>
        </w:rPr>
      </w:pPr>
    </w:p>
    <w:p w14:paraId="279040DB">
      <w:pPr>
        <w:spacing w:line="440" w:lineRule="exact"/>
        <w:jc w:val="center"/>
        <w:rPr>
          <w:rFonts w:ascii="仿宋" w:hAnsi="仿宋" w:eastAsia="仿宋" w:cs="仿宋"/>
          <w:b/>
          <w:bCs/>
          <w:sz w:val="24"/>
          <w:szCs w:val="24"/>
        </w:rPr>
      </w:pPr>
    </w:p>
    <w:p w14:paraId="5D9471AD">
      <w:pPr>
        <w:spacing w:line="440" w:lineRule="exact"/>
        <w:jc w:val="center"/>
        <w:rPr>
          <w:rFonts w:ascii="仿宋" w:hAnsi="仿宋" w:eastAsia="仿宋" w:cs="仿宋"/>
          <w:b/>
          <w:bCs/>
          <w:sz w:val="24"/>
          <w:szCs w:val="24"/>
        </w:rPr>
      </w:pPr>
    </w:p>
    <w:p w14:paraId="52416635">
      <w:pPr>
        <w:spacing w:line="440" w:lineRule="exact"/>
        <w:jc w:val="center"/>
        <w:rPr>
          <w:rFonts w:ascii="仿宋" w:hAnsi="仿宋" w:eastAsia="仿宋" w:cs="仿宋"/>
          <w:b/>
          <w:bCs/>
          <w:sz w:val="24"/>
          <w:szCs w:val="24"/>
        </w:rPr>
      </w:pPr>
    </w:p>
    <w:p w14:paraId="04C33BAD">
      <w:pPr>
        <w:spacing w:line="440" w:lineRule="exact"/>
        <w:jc w:val="center"/>
        <w:rPr>
          <w:rFonts w:ascii="仿宋" w:hAnsi="仿宋" w:eastAsia="仿宋" w:cs="仿宋"/>
          <w:b/>
          <w:bCs/>
          <w:sz w:val="24"/>
          <w:szCs w:val="24"/>
        </w:rPr>
      </w:pPr>
    </w:p>
    <w:p w14:paraId="6711F6D0">
      <w:pPr>
        <w:spacing w:line="440" w:lineRule="exact"/>
        <w:jc w:val="center"/>
        <w:rPr>
          <w:rFonts w:ascii="仿宋" w:hAnsi="仿宋" w:eastAsia="仿宋" w:cs="仿宋"/>
          <w:b/>
          <w:bCs/>
          <w:sz w:val="24"/>
          <w:szCs w:val="24"/>
        </w:rPr>
      </w:pPr>
    </w:p>
    <w:p w14:paraId="6656428A">
      <w:pPr>
        <w:spacing w:line="440" w:lineRule="exact"/>
        <w:jc w:val="center"/>
        <w:rPr>
          <w:rFonts w:ascii="仿宋" w:hAnsi="仿宋" w:eastAsia="仿宋" w:cs="仿宋"/>
          <w:b/>
          <w:bCs/>
          <w:sz w:val="24"/>
          <w:szCs w:val="24"/>
        </w:rPr>
      </w:pPr>
    </w:p>
    <w:p w14:paraId="3D856CF3">
      <w:pPr>
        <w:spacing w:line="440" w:lineRule="exact"/>
        <w:jc w:val="center"/>
        <w:rPr>
          <w:rFonts w:ascii="仿宋" w:hAnsi="仿宋" w:eastAsia="仿宋" w:cs="仿宋"/>
          <w:b/>
          <w:bCs/>
          <w:sz w:val="24"/>
          <w:szCs w:val="24"/>
        </w:rPr>
      </w:pPr>
    </w:p>
    <w:p w14:paraId="18C617C6">
      <w:pPr>
        <w:spacing w:line="440" w:lineRule="exact"/>
        <w:jc w:val="center"/>
        <w:rPr>
          <w:rFonts w:ascii="仿宋" w:hAnsi="仿宋" w:eastAsia="仿宋" w:cs="仿宋"/>
          <w:b/>
          <w:bCs/>
          <w:sz w:val="24"/>
          <w:szCs w:val="24"/>
        </w:rPr>
      </w:pPr>
    </w:p>
    <w:p w14:paraId="1082855D">
      <w:pPr>
        <w:spacing w:line="440" w:lineRule="exact"/>
        <w:jc w:val="center"/>
        <w:rPr>
          <w:rFonts w:ascii="仿宋" w:hAnsi="仿宋" w:eastAsia="仿宋" w:cs="仿宋"/>
          <w:b/>
          <w:bCs/>
          <w:sz w:val="24"/>
          <w:szCs w:val="24"/>
        </w:rPr>
      </w:pPr>
    </w:p>
    <w:p w14:paraId="2494CDD3">
      <w:pPr>
        <w:spacing w:line="440" w:lineRule="exact"/>
        <w:jc w:val="center"/>
        <w:rPr>
          <w:rFonts w:ascii="仿宋" w:hAnsi="仿宋" w:eastAsia="仿宋" w:cs="仿宋"/>
          <w:b/>
          <w:bCs/>
          <w:sz w:val="24"/>
          <w:szCs w:val="24"/>
        </w:rPr>
      </w:pPr>
    </w:p>
    <w:p w14:paraId="3DAF52DC">
      <w:pPr>
        <w:spacing w:line="440" w:lineRule="exact"/>
        <w:jc w:val="center"/>
        <w:rPr>
          <w:rFonts w:ascii="仿宋" w:hAnsi="仿宋" w:eastAsia="仿宋" w:cs="仿宋"/>
          <w:b/>
          <w:bCs/>
          <w:sz w:val="24"/>
          <w:szCs w:val="24"/>
        </w:rPr>
      </w:pPr>
    </w:p>
    <w:p w14:paraId="5F8935FD">
      <w:pPr>
        <w:spacing w:line="440" w:lineRule="exact"/>
        <w:jc w:val="center"/>
        <w:rPr>
          <w:rFonts w:ascii="仿宋" w:hAnsi="仿宋" w:eastAsia="仿宋" w:cs="仿宋"/>
          <w:b/>
          <w:bCs/>
          <w:sz w:val="24"/>
          <w:szCs w:val="24"/>
        </w:rPr>
      </w:pPr>
    </w:p>
    <w:p w14:paraId="015E12EA">
      <w:pPr>
        <w:spacing w:line="440" w:lineRule="exact"/>
        <w:jc w:val="center"/>
        <w:rPr>
          <w:rFonts w:ascii="仿宋" w:hAnsi="仿宋" w:eastAsia="仿宋" w:cs="仿宋"/>
          <w:b/>
          <w:bCs/>
          <w:sz w:val="24"/>
          <w:szCs w:val="24"/>
        </w:rPr>
      </w:pPr>
    </w:p>
    <w:p w14:paraId="6E45486E">
      <w:pPr>
        <w:spacing w:line="440" w:lineRule="exact"/>
        <w:jc w:val="center"/>
        <w:rPr>
          <w:rFonts w:ascii="仿宋" w:hAnsi="仿宋" w:eastAsia="仿宋" w:cs="仿宋"/>
          <w:b/>
          <w:bCs/>
          <w:sz w:val="24"/>
          <w:szCs w:val="24"/>
        </w:rPr>
      </w:pPr>
    </w:p>
    <w:p w14:paraId="34EBDF99">
      <w:pPr>
        <w:spacing w:line="440" w:lineRule="exact"/>
        <w:jc w:val="center"/>
        <w:rPr>
          <w:rFonts w:ascii="仿宋" w:hAnsi="仿宋" w:eastAsia="仿宋" w:cs="仿宋"/>
          <w:b/>
          <w:bCs/>
          <w:sz w:val="24"/>
          <w:szCs w:val="24"/>
        </w:rPr>
      </w:pPr>
    </w:p>
    <w:p w14:paraId="74C6E290">
      <w:pPr>
        <w:spacing w:line="440" w:lineRule="exact"/>
        <w:jc w:val="center"/>
        <w:rPr>
          <w:rFonts w:ascii="仿宋" w:hAnsi="仿宋" w:eastAsia="仿宋" w:cs="仿宋"/>
          <w:b/>
          <w:bCs/>
          <w:sz w:val="24"/>
          <w:szCs w:val="24"/>
        </w:rPr>
      </w:pPr>
    </w:p>
    <w:p w14:paraId="20F9DB2D">
      <w:pPr>
        <w:spacing w:line="440" w:lineRule="exact"/>
        <w:jc w:val="center"/>
        <w:rPr>
          <w:rFonts w:ascii="仿宋" w:hAnsi="仿宋" w:eastAsia="仿宋" w:cs="仿宋"/>
          <w:b/>
          <w:bCs/>
          <w:sz w:val="24"/>
          <w:szCs w:val="24"/>
        </w:rPr>
      </w:pPr>
    </w:p>
    <w:p w14:paraId="2DE26043">
      <w:pPr>
        <w:spacing w:line="440" w:lineRule="exact"/>
        <w:jc w:val="center"/>
        <w:rPr>
          <w:rFonts w:ascii="仿宋" w:hAnsi="仿宋" w:eastAsia="仿宋" w:cs="仿宋"/>
          <w:b/>
          <w:bCs/>
          <w:sz w:val="24"/>
          <w:szCs w:val="24"/>
        </w:rPr>
      </w:pPr>
    </w:p>
    <w:p w14:paraId="16703CB7">
      <w:pPr>
        <w:spacing w:line="440" w:lineRule="exact"/>
        <w:jc w:val="center"/>
        <w:rPr>
          <w:rFonts w:ascii="仿宋" w:hAnsi="仿宋" w:eastAsia="仿宋" w:cs="仿宋"/>
          <w:b/>
          <w:bCs/>
          <w:sz w:val="24"/>
          <w:szCs w:val="24"/>
        </w:rPr>
      </w:pPr>
    </w:p>
    <w:p w14:paraId="6CE59B0F">
      <w:pPr>
        <w:spacing w:line="440" w:lineRule="exact"/>
        <w:jc w:val="center"/>
        <w:rPr>
          <w:rFonts w:ascii="仿宋" w:hAnsi="仿宋" w:eastAsia="仿宋" w:cs="仿宋"/>
          <w:b/>
          <w:bCs/>
          <w:sz w:val="24"/>
          <w:szCs w:val="24"/>
        </w:rPr>
      </w:pPr>
    </w:p>
    <w:p w14:paraId="6923E396">
      <w:pPr>
        <w:spacing w:line="440" w:lineRule="exact"/>
        <w:jc w:val="center"/>
        <w:rPr>
          <w:rFonts w:ascii="仿宋" w:hAnsi="仿宋" w:eastAsia="仿宋" w:cs="仿宋"/>
          <w:b/>
          <w:bCs/>
          <w:sz w:val="24"/>
          <w:szCs w:val="24"/>
        </w:rPr>
      </w:pPr>
    </w:p>
    <w:p w14:paraId="013BFFB2">
      <w:pPr>
        <w:spacing w:line="440" w:lineRule="exact"/>
        <w:jc w:val="center"/>
        <w:rPr>
          <w:rFonts w:ascii="仿宋" w:hAnsi="仿宋" w:eastAsia="仿宋" w:cs="仿宋"/>
          <w:b/>
          <w:bCs/>
          <w:sz w:val="24"/>
          <w:szCs w:val="24"/>
        </w:rPr>
      </w:pPr>
    </w:p>
    <w:p w14:paraId="0193186C">
      <w:pPr>
        <w:spacing w:line="440" w:lineRule="exact"/>
        <w:jc w:val="center"/>
        <w:rPr>
          <w:rFonts w:ascii="仿宋" w:hAnsi="仿宋" w:eastAsia="仿宋" w:cs="仿宋"/>
          <w:b/>
          <w:bCs/>
          <w:sz w:val="24"/>
          <w:szCs w:val="24"/>
        </w:rPr>
      </w:pPr>
    </w:p>
    <w:p w14:paraId="02C63950">
      <w:pPr>
        <w:spacing w:line="440" w:lineRule="exact"/>
        <w:jc w:val="center"/>
        <w:rPr>
          <w:rFonts w:ascii="仿宋" w:hAnsi="仿宋" w:eastAsia="仿宋" w:cs="仿宋"/>
          <w:b/>
          <w:bCs/>
          <w:sz w:val="24"/>
          <w:szCs w:val="24"/>
        </w:rPr>
      </w:pPr>
      <w:r>
        <w:rPr>
          <w:rFonts w:hint="eastAsia" w:ascii="仿宋" w:hAnsi="仿宋" w:eastAsia="仿宋" w:cs="仿宋"/>
          <w:b/>
          <w:bCs/>
          <w:sz w:val="24"/>
          <w:szCs w:val="24"/>
        </w:rPr>
        <w:t>9.中小企业声明函</w:t>
      </w:r>
    </w:p>
    <w:p w14:paraId="5AEA01D5">
      <w:pPr>
        <w:adjustRightInd w:val="0"/>
        <w:snapToGrid w:val="0"/>
        <w:spacing w:line="500" w:lineRule="exact"/>
        <w:ind w:firstLine="480" w:firstLineChars="200"/>
        <w:rPr>
          <w:rFonts w:ascii="仿宋" w:hAnsi="仿宋" w:eastAsia="仿宋" w:cs="仿宋"/>
          <w:sz w:val="24"/>
          <w:szCs w:val="24"/>
        </w:rPr>
      </w:pPr>
    </w:p>
    <w:p w14:paraId="5B4D9AE6">
      <w:pPr>
        <w:adjustRightInd w:val="0"/>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本公司郑重声明，根据《政府采购促进中小企业发展管理办法》（财库〔2020〕46号）的规定，本公司参加</w:t>
      </w:r>
      <w:r>
        <w:rPr>
          <w:rFonts w:hint="eastAsia" w:ascii="仿宋" w:hAnsi="仿宋" w:eastAsia="仿宋" w:cs="仿宋"/>
          <w:sz w:val="24"/>
          <w:szCs w:val="24"/>
          <w:u w:val="single"/>
        </w:rPr>
        <w:t xml:space="preserve"> 南通市养老服务指导中心 </w:t>
      </w:r>
      <w:r>
        <w:rPr>
          <w:rFonts w:hint="eastAsia" w:ascii="仿宋" w:hAnsi="仿宋" w:eastAsia="仿宋" w:cs="仿宋"/>
          <w:sz w:val="24"/>
          <w:szCs w:val="24"/>
        </w:rPr>
        <w:t>的</w:t>
      </w:r>
      <w:r>
        <w:rPr>
          <w:rFonts w:hint="eastAsia" w:ascii="仿宋" w:hAnsi="仿宋" w:eastAsia="仿宋" w:cs="仿宋"/>
          <w:sz w:val="24"/>
          <w:szCs w:val="24"/>
          <w:u w:val="single"/>
        </w:rPr>
        <w:t>（项目名称）</w:t>
      </w:r>
      <w:r>
        <w:rPr>
          <w:rFonts w:hint="eastAsia" w:ascii="仿宋" w:hAnsi="仿宋" w:eastAsia="仿宋" w:cs="仿宋"/>
          <w:sz w:val="24"/>
          <w:szCs w:val="24"/>
        </w:rPr>
        <w:t xml:space="preserve">采购活动，服务全部由符合政策要求的中小企业承接。相关企业（含联合体中的中小企业、签订分包意向协议的中小企业）的具体情况如下： </w:t>
      </w:r>
    </w:p>
    <w:p w14:paraId="12634A5E">
      <w:pPr>
        <w:adjustRightInd w:val="0"/>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1. </w:t>
      </w:r>
      <w:r>
        <w:rPr>
          <w:rFonts w:hint="eastAsia" w:ascii="仿宋" w:hAnsi="仿宋" w:eastAsia="仿宋" w:cs="仿宋"/>
          <w:sz w:val="24"/>
          <w:szCs w:val="24"/>
          <w:u w:val="single"/>
        </w:rPr>
        <w:t>（标的名称）</w:t>
      </w:r>
      <w:r>
        <w:rPr>
          <w:rFonts w:hint="eastAsia" w:ascii="仿宋" w:hAnsi="仿宋" w:eastAsia="仿宋" w:cs="仿宋"/>
          <w:sz w:val="24"/>
          <w:szCs w:val="24"/>
        </w:rPr>
        <w:t xml:space="preserve"> ，属于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 承建（承接）企业为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 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w:t>
      </w:r>
      <w:r>
        <w:rPr>
          <w:rFonts w:ascii="仿宋" w:hAnsi="仿宋" w:eastAsia="仿宋" w:cs="仿宋"/>
          <w:sz w:val="24"/>
          <w:szCs w:val="24"/>
        </w:rPr>
        <w:t>①</w:t>
      </w:r>
      <w:r>
        <w:rPr>
          <w:rFonts w:hint="eastAsia" w:ascii="仿宋" w:hAnsi="仿宋" w:eastAsia="仿宋" w:cs="仿宋"/>
          <w:sz w:val="24"/>
          <w:szCs w:val="24"/>
        </w:rPr>
        <w:t>，属于</w:t>
      </w:r>
      <w:r>
        <w:rPr>
          <w:rFonts w:hint="eastAsia" w:ascii="仿宋" w:hAnsi="仿宋" w:eastAsia="仿宋" w:cs="仿宋"/>
          <w:sz w:val="24"/>
          <w:szCs w:val="24"/>
          <w:u w:val="single"/>
        </w:rPr>
        <w:t>（中型企业、 小型企业、微型企业）</w:t>
      </w:r>
      <w:r>
        <w:rPr>
          <w:rFonts w:hint="eastAsia" w:ascii="仿宋" w:hAnsi="仿宋" w:eastAsia="仿宋" w:cs="仿宋"/>
          <w:sz w:val="24"/>
          <w:szCs w:val="24"/>
        </w:rPr>
        <w:t>；</w:t>
      </w:r>
    </w:p>
    <w:p w14:paraId="33EAF7DC">
      <w:pPr>
        <w:adjustRightInd w:val="0"/>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 2. </w:t>
      </w:r>
      <w:r>
        <w:rPr>
          <w:rFonts w:hint="eastAsia" w:ascii="仿宋" w:hAnsi="仿宋" w:eastAsia="仿宋" w:cs="仿宋"/>
          <w:sz w:val="24"/>
          <w:szCs w:val="24"/>
          <w:u w:val="single"/>
        </w:rPr>
        <w:t xml:space="preserve">（标的名称） </w:t>
      </w:r>
      <w:r>
        <w:rPr>
          <w:rFonts w:hint="eastAsia" w:ascii="仿宋" w:hAnsi="仿宋" w:eastAsia="仿宋" w:cs="仿宋"/>
          <w:sz w:val="24"/>
          <w:szCs w:val="24"/>
        </w:rPr>
        <w:t>，属于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 承建（承接）企业为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sz w:val="24"/>
          <w:szCs w:val="24"/>
          <w:u w:val="single"/>
        </w:rPr>
        <w:t>（中型企业、 小型企业、微型企业）</w:t>
      </w:r>
      <w:r>
        <w:rPr>
          <w:rFonts w:hint="eastAsia" w:ascii="仿宋" w:hAnsi="仿宋" w:eastAsia="仿宋" w:cs="仿宋"/>
          <w:sz w:val="24"/>
          <w:szCs w:val="24"/>
        </w:rPr>
        <w:t xml:space="preserve">； </w:t>
      </w:r>
    </w:p>
    <w:p w14:paraId="4D922717">
      <w:pPr>
        <w:adjustRightInd w:val="0"/>
        <w:snapToGrid w:val="0"/>
        <w:spacing w:line="500" w:lineRule="exact"/>
        <w:ind w:firstLine="640" w:firstLineChars="200"/>
        <w:rPr>
          <w:rFonts w:eastAsia="仿宋_GB2312"/>
          <w:sz w:val="32"/>
          <w:szCs w:val="32"/>
        </w:rPr>
      </w:pPr>
      <w:r>
        <w:rPr>
          <w:rFonts w:eastAsia="仿宋_GB2312"/>
          <w:sz w:val="32"/>
          <w:szCs w:val="32"/>
        </w:rPr>
        <w:t xml:space="preserve">…… </w:t>
      </w:r>
    </w:p>
    <w:p w14:paraId="74F6A682">
      <w:pPr>
        <w:adjustRightInd w:val="0"/>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以上企业，不属于大企业的分支机构，不存在控股股东为大企业的情形，也不存在与大企业的负责人为同一人的情形。 </w:t>
      </w:r>
    </w:p>
    <w:p w14:paraId="0112F497">
      <w:pPr>
        <w:adjustRightInd w:val="0"/>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本企业对上述声明内容的真实性负责。如有虚假，将依 法承担相应责任。 </w:t>
      </w:r>
    </w:p>
    <w:p w14:paraId="7D01B63F">
      <w:pPr>
        <w:adjustRightInd w:val="0"/>
        <w:snapToGrid w:val="0"/>
        <w:spacing w:line="500" w:lineRule="exact"/>
        <w:ind w:firstLine="4160" w:firstLineChars="1300"/>
        <w:rPr>
          <w:rFonts w:eastAsia="仿宋_GB2312"/>
          <w:sz w:val="32"/>
          <w:szCs w:val="32"/>
        </w:rPr>
      </w:pPr>
    </w:p>
    <w:p w14:paraId="55187685">
      <w:pPr>
        <w:adjustRightInd w:val="0"/>
        <w:snapToGrid w:val="0"/>
        <w:spacing w:line="500" w:lineRule="exact"/>
        <w:ind w:firstLine="480" w:firstLineChars="200"/>
        <w:jc w:val="right"/>
        <w:rPr>
          <w:rFonts w:ascii="仿宋" w:hAnsi="仿宋" w:eastAsia="仿宋" w:cs="仿宋"/>
          <w:sz w:val="24"/>
          <w:szCs w:val="24"/>
        </w:rPr>
      </w:pPr>
    </w:p>
    <w:p w14:paraId="0F3CD3E5">
      <w:pPr>
        <w:adjustRightInd w:val="0"/>
        <w:snapToGrid w:val="0"/>
        <w:spacing w:line="500" w:lineRule="exact"/>
        <w:ind w:firstLine="480" w:firstLineChars="200"/>
        <w:jc w:val="center"/>
        <w:rPr>
          <w:rFonts w:ascii="仿宋" w:hAnsi="仿宋" w:eastAsia="仿宋" w:cs="仿宋"/>
          <w:sz w:val="24"/>
          <w:szCs w:val="24"/>
        </w:rPr>
      </w:pPr>
      <w:r>
        <w:rPr>
          <w:rFonts w:hint="eastAsia" w:ascii="仿宋" w:hAnsi="仿宋" w:eastAsia="仿宋" w:cs="仿宋"/>
          <w:sz w:val="24"/>
          <w:szCs w:val="24"/>
        </w:rPr>
        <w:t xml:space="preserve">                                          企业名称（盖章）： </w:t>
      </w:r>
    </w:p>
    <w:p w14:paraId="5E73881F">
      <w:pPr>
        <w:adjustRightInd w:val="0"/>
        <w:snapToGrid w:val="0"/>
        <w:spacing w:line="500" w:lineRule="exact"/>
        <w:ind w:firstLine="480" w:firstLineChars="200"/>
        <w:jc w:val="center"/>
        <w:rPr>
          <w:rFonts w:ascii="仿宋" w:hAnsi="仿宋" w:eastAsia="仿宋" w:cs="仿宋"/>
          <w:sz w:val="24"/>
          <w:szCs w:val="24"/>
        </w:rPr>
      </w:pPr>
      <w:r>
        <w:rPr>
          <w:rFonts w:hint="eastAsia" w:ascii="仿宋" w:hAnsi="仿宋" w:eastAsia="仿宋" w:cs="仿宋"/>
          <w:sz w:val="24"/>
          <w:szCs w:val="24"/>
        </w:rPr>
        <w:t xml:space="preserve">                                                     日 期：</w:t>
      </w:r>
    </w:p>
    <w:p w14:paraId="1A211408">
      <w:pPr>
        <w:adjustRightInd w:val="0"/>
        <w:snapToGrid w:val="0"/>
        <w:spacing w:line="500" w:lineRule="exact"/>
        <w:ind w:firstLine="480" w:firstLineChars="200"/>
        <w:jc w:val="right"/>
        <w:rPr>
          <w:rFonts w:ascii="仿宋" w:hAnsi="仿宋" w:eastAsia="仿宋" w:cs="仿宋"/>
          <w:sz w:val="24"/>
          <w:szCs w:val="24"/>
        </w:rPr>
      </w:pPr>
    </w:p>
    <w:p w14:paraId="0E35C5F3">
      <w:pPr>
        <w:snapToGrid w:val="0"/>
        <w:spacing w:line="440" w:lineRule="exact"/>
        <w:ind w:firstLine="494" w:firstLineChars="206"/>
        <w:rPr>
          <w:rFonts w:ascii="仿宋" w:hAnsi="仿宋" w:eastAsia="仿宋" w:cs="仿宋"/>
          <w:sz w:val="24"/>
          <w:szCs w:val="24"/>
        </w:rPr>
      </w:pPr>
    </w:p>
    <w:p w14:paraId="3B458D66">
      <w:pPr>
        <w:snapToGrid w:val="0"/>
        <w:spacing w:line="440" w:lineRule="exact"/>
        <w:ind w:firstLine="494" w:firstLineChars="206"/>
        <w:rPr>
          <w:rFonts w:ascii="仿宋" w:hAnsi="仿宋" w:eastAsia="仿宋" w:cs="仿宋"/>
          <w:sz w:val="24"/>
          <w:szCs w:val="24"/>
        </w:rPr>
      </w:pPr>
    </w:p>
    <w:p w14:paraId="4EE677CC">
      <w:pPr>
        <w:snapToGrid w:val="0"/>
        <w:spacing w:line="440" w:lineRule="exact"/>
        <w:ind w:firstLine="494" w:firstLineChars="206"/>
        <w:rPr>
          <w:rFonts w:ascii="仿宋" w:hAnsi="仿宋" w:eastAsia="仿宋" w:cs="仿宋"/>
          <w:sz w:val="24"/>
          <w:szCs w:val="24"/>
        </w:rPr>
      </w:pPr>
    </w:p>
    <w:p w14:paraId="51391068">
      <w:pPr>
        <w:snapToGrid w:val="0"/>
        <w:spacing w:line="440" w:lineRule="exact"/>
        <w:ind w:firstLine="494" w:firstLineChars="206"/>
        <w:rPr>
          <w:rFonts w:ascii="仿宋" w:hAnsi="仿宋" w:eastAsia="仿宋" w:cs="仿宋"/>
          <w:sz w:val="24"/>
          <w:szCs w:val="24"/>
        </w:rPr>
      </w:pPr>
    </w:p>
    <w:p w14:paraId="704800EF">
      <w:r>
        <w:rPr>
          <w:rFonts w:ascii="Calibri" w:hAnsi="Calibri" w:cs="Calibri"/>
          <w:sz w:val="18"/>
          <w:szCs w:val="18"/>
        </w:rPr>
        <w:t>①</w:t>
      </w:r>
      <w:r>
        <w:rPr>
          <w:rFonts w:ascii="宋体" w:hAnsi="宋体" w:cs="宋体"/>
          <w:sz w:val="18"/>
          <w:szCs w:val="18"/>
        </w:rPr>
        <w:t>从业人员、营业收入、资产总额填报上一年度数据，无上一年度数据的新成立企业可不填报</w:t>
      </w:r>
    </w:p>
    <w:p w14:paraId="79C90C02">
      <w:pPr>
        <w:snapToGrid w:val="0"/>
        <w:spacing w:line="440" w:lineRule="exact"/>
        <w:ind w:firstLine="494" w:firstLineChars="206"/>
        <w:rPr>
          <w:rFonts w:ascii="仿宋" w:hAnsi="仿宋" w:eastAsia="仿宋" w:cs="仿宋"/>
          <w:sz w:val="24"/>
          <w:szCs w:val="24"/>
        </w:rPr>
      </w:pPr>
    </w:p>
    <w:p w14:paraId="2FDC3BAC">
      <w:pPr>
        <w:snapToGrid w:val="0"/>
        <w:spacing w:line="440" w:lineRule="exact"/>
        <w:ind w:firstLine="494" w:firstLineChars="206"/>
        <w:rPr>
          <w:rFonts w:ascii="仿宋" w:hAnsi="仿宋" w:eastAsia="仿宋" w:cs="仿宋"/>
          <w:sz w:val="24"/>
          <w:szCs w:val="24"/>
        </w:rPr>
      </w:pPr>
    </w:p>
    <w:p w14:paraId="35FCB9AF">
      <w:pPr>
        <w:snapToGrid w:val="0"/>
        <w:spacing w:line="440" w:lineRule="exact"/>
        <w:ind w:firstLine="494" w:firstLineChars="206"/>
        <w:rPr>
          <w:rFonts w:ascii="仿宋" w:hAnsi="仿宋" w:eastAsia="仿宋" w:cs="仿宋"/>
          <w:sz w:val="24"/>
          <w:szCs w:val="24"/>
        </w:rPr>
      </w:pPr>
    </w:p>
    <w:p w14:paraId="2C739619">
      <w:pPr>
        <w:spacing w:line="440" w:lineRule="exact"/>
        <w:jc w:val="center"/>
        <w:rPr>
          <w:rFonts w:ascii="仿宋" w:hAnsi="仿宋" w:eastAsia="仿宋" w:cs="仿宋"/>
          <w:b/>
          <w:bCs/>
          <w:sz w:val="24"/>
          <w:szCs w:val="24"/>
        </w:rPr>
      </w:pPr>
      <w:bookmarkStart w:id="37" w:name="_Toc27647"/>
      <w:r>
        <w:rPr>
          <w:rFonts w:hint="eastAsia" w:ascii="仿宋" w:hAnsi="仿宋" w:eastAsia="仿宋" w:cs="仿宋"/>
          <w:b/>
          <w:bCs/>
          <w:sz w:val="24"/>
          <w:szCs w:val="24"/>
        </w:rPr>
        <w:t>残疾人福利性单位声明函</w:t>
      </w:r>
      <w:bookmarkEnd w:id="37"/>
    </w:p>
    <w:p w14:paraId="3953F5C0">
      <w:pPr>
        <w:adjustRightInd w:val="0"/>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sz w:val="24"/>
          <w:szCs w:val="24"/>
          <w:u w:val="single"/>
        </w:rPr>
        <w:t>南通市养老服务指导中心</w:t>
      </w:r>
      <w:r>
        <w:rPr>
          <w:rFonts w:hint="eastAsia" w:ascii="仿宋" w:hAnsi="仿宋" w:eastAsia="仿宋" w:cs="仿宋"/>
          <w:sz w:val="24"/>
          <w:szCs w:val="24"/>
        </w:rPr>
        <w:t>的</w:t>
      </w:r>
      <w:r>
        <w:rPr>
          <w:rFonts w:hint="eastAsia" w:ascii="仿宋" w:hAnsi="仿宋" w:eastAsia="仿宋" w:cs="仿宋"/>
          <w:sz w:val="24"/>
          <w:szCs w:val="24"/>
          <w:u w:val="single"/>
        </w:rPr>
        <w:t xml:space="preserve">           </w:t>
      </w:r>
      <w:r>
        <w:rPr>
          <w:rFonts w:hint="eastAsia" w:ascii="仿宋" w:hAnsi="仿宋" w:eastAsia="仿宋" w:cs="仿宋"/>
          <w:sz w:val="24"/>
          <w:szCs w:val="24"/>
        </w:rPr>
        <w:t>项目采购活动提供本单位制造的货物（由本单位承担工程/提供服务），或者提供其他残疾人福利性单位制造的货物（不包括使用非残疾人福利性单位注册商标的货物）。</w:t>
      </w:r>
    </w:p>
    <w:p w14:paraId="07BDAD9E">
      <w:pPr>
        <w:adjustRightInd w:val="0"/>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14:paraId="57913F2F">
      <w:pPr>
        <w:adjustRightInd w:val="0"/>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（备注：中标供应商为残疾人福利单位的，此声明函将随中标结果同时公告，接受社会监督）</w:t>
      </w:r>
    </w:p>
    <w:p w14:paraId="13B7C343">
      <w:pPr>
        <w:snapToGrid w:val="0"/>
        <w:spacing w:line="360" w:lineRule="auto"/>
        <w:ind w:firstLine="560" w:firstLineChars="200"/>
        <w:rPr>
          <w:sz w:val="28"/>
          <w:szCs w:val="28"/>
          <w:lang w:bidi="zh-CN"/>
        </w:rPr>
      </w:pPr>
    </w:p>
    <w:p w14:paraId="6FA7B774">
      <w:pPr>
        <w:snapToGrid w:val="0"/>
        <w:spacing w:line="360" w:lineRule="auto"/>
        <w:ind w:firstLine="560" w:firstLineChars="200"/>
        <w:rPr>
          <w:sz w:val="28"/>
          <w:szCs w:val="28"/>
          <w:lang w:bidi="zh-CN"/>
        </w:rPr>
      </w:pPr>
    </w:p>
    <w:p w14:paraId="2BEDE2D6">
      <w:pPr>
        <w:snapToGrid w:val="0"/>
        <w:spacing w:line="360" w:lineRule="auto"/>
        <w:ind w:firstLine="560" w:firstLineChars="200"/>
        <w:rPr>
          <w:sz w:val="28"/>
          <w:szCs w:val="28"/>
          <w:lang w:bidi="zh-CN"/>
        </w:rPr>
      </w:pPr>
    </w:p>
    <w:p w14:paraId="34A56077">
      <w:pPr>
        <w:adjustRightInd w:val="0"/>
        <w:snapToGrid w:val="0"/>
        <w:spacing w:line="500" w:lineRule="exact"/>
        <w:ind w:firstLine="480" w:firstLineChars="200"/>
        <w:rPr>
          <w:rFonts w:ascii="仿宋" w:hAnsi="仿宋" w:eastAsia="仿宋" w:cs="仿宋"/>
          <w:sz w:val="24"/>
          <w:szCs w:val="24"/>
        </w:rPr>
      </w:pPr>
    </w:p>
    <w:p w14:paraId="0930D9BE">
      <w:pPr>
        <w:adjustRightInd w:val="0"/>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                           响应供应商全称（盖章）：</w:t>
      </w:r>
    </w:p>
    <w:p w14:paraId="71109A60">
      <w:pPr>
        <w:adjustRightInd w:val="0"/>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                                           日  期：</w:t>
      </w:r>
    </w:p>
    <w:p w14:paraId="4A97E21B">
      <w:pPr>
        <w:adjustRightInd w:val="0"/>
        <w:snapToGrid w:val="0"/>
        <w:spacing w:line="500" w:lineRule="exact"/>
        <w:ind w:firstLine="480" w:firstLineChars="200"/>
        <w:rPr>
          <w:rFonts w:ascii="仿宋" w:hAnsi="仿宋" w:eastAsia="仿宋" w:cs="仿宋"/>
          <w:sz w:val="24"/>
          <w:szCs w:val="24"/>
        </w:rPr>
      </w:pPr>
    </w:p>
    <w:p w14:paraId="45775538">
      <w:pPr>
        <w:pStyle w:val="5"/>
        <w:rPr>
          <w:rFonts w:ascii="仿宋" w:hAnsi="仿宋" w:eastAsia="仿宋" w:cs="仿宋"/>
          <w:sz w:val="24"/>
          <w:szCs w:val="24"/>
        </w:rPr>
      </w:pPr>
    </w:p>
    <w:p w14:paraId="0EAD461C">
      <w:pPr>
        <w:rPr>
          <w:rFonts w:ascii="仿宋" w:hAnsi="仿宋" w:eastAsia="仿宋" w:cs="仿宋"/>
          <w:sz w:val="24"/>
          <w:szCs w:val="24"/>
        </w:rPr>
      </w:pPr>
    </w:p>
    <w:p w14:paraId="69E2AE0B">
      <w:pPr>
        <w:pStyle w:val="5"/>
        <w:rPr>
          <w:rFonts w:ascii="仿宋" w:hAnsi="仿宋" w:eastAsia="仿宋" w:cs="仿宋"/>
          <w:sz w:val="24"/>
          <w:szCs w:val="24"/>
        </w:rPr>
      </w:pPr>
    </w:p>
    <w:p w14:paraId="21FF8942">
      <w:pPr>
        <w:rPr>
          <w:rFonts w:ascii="仿宋" w:hAnsi="仿宋" w:eastAsia="仿宋" w:cs="仿宋"/>
          <w:sz w:val="24"/>
          <w:szCs w:val="24"/>
        </w:rPr>
      </w:pPr>
    </w:p>
    <w:p w14:paraId="6CA3C183">
      <w:pPr>
        <w:pStyle w:val="5"/>
        <w:rPr>
          <w:rFonts w:ascii="仿宋" w:hAnsi="仿宋" w:eastAsia="仿宋" w:cs="仿宋"/>
          <w:sz w:val="24"/>
          <w:szCs w:val="24"/>
        </w:rPr>
      </w:pPr>
    </w:p>
    <w:p w14:paraId="3022A375">
      <w:pPr>
        <w:rPr>
          <w:rFonts w:ascii="仿宋" w:hAnsi="仿宋" w:eastAsia="仿宋" w:cs="仿宋"/>
          <w:sz w:val="24"/>
          <w:szCs w:val="24"/>
        </w:rPr>
      </w:pPr>
    </w:p>
    <w:p w14:paraId="088C087E">
      <w:pPr>
        <w:pStyle w:val="5"/>
        <w:rPr>
          <w:rFonts w:ascii="仿宋" w:hAnsi="仿宋" w:eastAsia="仿宋" w:cs="仿宋"/>
          <w:sz w:val="24"/>
          <w:szCs w:val="24"/>
        </w:rPr>
      </w:pPr>
    </w:p>
    <w:p w14:paraId="3C4E920C"/>
    <w:p w14:paraId="1314B111">
      <w:pPr>
        <w:rPr>
          <w:rFonts w:ascii="仿宋" w:hAnsi="仿宋" w:eastAsia="仿宋" w:cs="仿宋"/>
          <w:sz w:val="24"/>
          <w:szCs w:val="24"/>
        </w:rPr>
      </w:pPr>
    </w:p>
    <w:p w14:paraId="44A52594">
      <w:pPr>
        <w:spacing w:line="440" w:lineRule="exact"/>
        <w:jc w:val="center"/>
        <w:rPr>
          <w:rFonts w:ascii="仿宋" w:hAnsi="仿宋" w:eastAsia="仿宋" w:cs="仿宋"/>
          <w:b/>
          <w:bCs/>
          <w:sz w:val="24"/>
          <w:szCs w:val="24"/>
        </w:rPr>
      </w:pPr>
      <w:bookmarkStart w:id="38" w:name="_Toc9825"/>
      <w:r>
        <w:rPr>
          <w:rFonts w:hint="eastAsia" w:ascii="仿宋" w:hAnsi="仿宋" w:eastAsia="仿宋" w:cs="仿宋"/>
          <w:b/>
          <w:bCs/>
          <w:sz w:val="24"/>
          <w:szCs w:val="24"/>
        </w:rPr>
        <w:t>监狱和戒毒企业证明材料</w:t>
      </w:r>
      <w:bookmarkEnd w:id="38"/>
    </w:p>
    <w:p w14:paraId="7AD21ACB">
      <w:pPr>
        <w:snapToGrid w:val="0"/>
        <w:spacing w:line="420" w:lineRule="exact"/>
        <w:jc w:val="center"/>
        <w:rPr>
          <w:rFonts w:ascii="仿宋" w:hAnsi="仿宋" w:eastAsia="仿宋" w:cs="仿宋"/>
          <w:bCs/>
          <w:sz w:val="28"/>
          <w:szCs w:val="28"/>
        </w:rPr>
      </w:pPr>
      <w:r>
        <w:rPr>
          <w:rFonts w:hint="eastAsia" w:ascii="仿宋" w:hAnsi="仿宋" w:eastAsia="仿宋" w:cs="仿宋"/>
          <w:bCs/>
          <w:sz w:val="28"/>
          <w:szCs w:val="28"/>
        </w:rPr>
        <w:t>（格式自拟）</w:t>
      </w:r>
    </w:p>
    <w:p w14:paraId="6E283C1E">
      <w:pPr>
        <w:snapToGrid w:val="0"/>
        <w:spacing w:line="360" w:lineRule="auto"/>
        <w:ind w:firstLine="560" w:firstLineChars="200"/>
        <w:rPr>
          <w:rFonts w:ascii="宋体" w:hAnsi="宋体" w:cs="宋体"/>
          <w:sz w:val="28"/>
          <w:szCs w:val="28"/>
        </w:rPr>
      </w:pPr>
    </w:p>
    <w:p w14:paraId="3DAF2A72">
      <w:pPr>
        <w:adjustRightInd w:val="0"/>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471C154F">
      <w:pPr>
        <w:snapToGrid w:val="0"/>
        <w:spacing w:line="360" w:lineRule="auto"/>
        <w:ind w:firstLine="560" w:firstLineChars="200"/>
        <w:rPr>
          <w:sz w:val="28"/>
          <w:szCs w:val="28"/>
          <w:lang w:bidi="zh-CN"/>
        </w:rPr>
      </w:pPr>
    </w:p>
    <w:p w14:paraId="59FEF0AB">
      <w:pPr>
        <w:pStyle w:val="5"/>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DE"/>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D459C">
    <w:pPr>
      <w:pStyle w:val="30"/>
      <w:jc w:val="center"/>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39700"/>
              <wp:effectExtent l="0" t="0" r="0" b="0"/>
              <wp:wrapNone/>
              <wp:docPr id="14" name="文本框 1025"/>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a:noFill/>
                      </a:ln>
                      <a:effectLst/>
                    </wps:spPr>
                    <wps:txbx>
                      <w:txbxContent>
                        <w:p w14:paraId="70F692D5">
                          <w:pPr>
                            <w:pStyle w:val="30"/>
                            <w:jc w:val="center"/>
                            <w:rPr>
                              <w:rFonts w:cs="Times New Roman"/>
                            </w:rPr>
                          </w:pPr>
                          <w:r>
                            <w:rPr>
                              <w:b/>
                              <w:bCs/>
                            </w:rPr>
                            <w:fldChar w:fldCharType="begin"/>
                          </w:r>
                          <w:r>
                            <w:rPr>
                              <w:b/>
                              <w:bCs/>
                            </w:rPr>
                            <w:instrText xml:space="preserve">PAGE</w:instrText>
                          </w:r>
                          <w:r>
                            <w:rPr>
                              <w:b/>
                              <w:bCs/>
                            </w:rPr>
                            <w:fldChar w:fldCharType="separate"/>
                          </w:r>
                          <w:r>
                            <w:rPr>
                              <w:b/>
                              <w:bCs/>
                            </w:rPr>
                            <w:t>- 8 -</w:t>
                          </w:r>
                          <w:r>
                            <w:rPr>
                              <w:b/>
                              <w:bCs/>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1pt;width:14.15pt;mso-position-horizontal:center;mso-position-horizontal-relative:margin;mso-wrap-style:none;z-index:251659264;mso-width-relative:page;mso-height-relative:page;" filled="f" stroked="f" coordsize="21600,21600" o:gfxdata="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qRZ6x0AAAAAMBAAAPAAAAAAAAAAEAIAAAACIAAABk&#10;cnMvZG93bnJldi54bWxQSwECFAAUAAAACACHTuJAogADa9UBAACpAwAADgAAAAAAAAABACAAAAAf&#10;AQAAZHJzL2Uyb0RvYy54bWxQSwUGAAAAAAYABgBZAQAAZgUAAAAA&#10;">
              <v:fill on="f" focussize="0,0"/>
              <v:stroke on="f"/>
              <v:imagedata o:title=""/>
              <o:lock v:ext="edit" aspectratio="f"/>
              <v:textbox inset="0mm,0mm,0mm,0mm" style="mso-fit-shape-to-text:t;">
                <w:txbxContent>
                  <w:p w14:paraId="70F692D5">
                    <w:pPr>
                      <w:pStyle w:val="30"/>
                      <w:jc w:val="center"/>
                      <w:rPr>
                        <w:rFonts w:cs="Times New Roman"/>
                      </w:rPr>
                    </w:pPr>
                    <w:r>
                      <w:rPr>
                        <w:b/>
                        <w:bCs/>
                      </w:rPr>
                      <w:fldChar w:fldCharType="begin"/>
                    </w:r>
                    <w:r>
                      <w:rPr>
                        <w:b/>
                        <w:bCs/>
                      </w:rPr>
                      <w:instrText xml:space="preserve">PAGE</w:instrText>
                    </w:r>
                    <w:r>
                      <w:rPr>
                        <w:b/>
                        <w:bCs/>
                      </w:rPr>
                      <w:fldChar w:fldCharType="separate"/>
                    </w:r>
                    <w:r>
                      <w:rPr>
                        <w:b/>
                        <w:bCs/>
                      </w:rPr>
                      <w:t>- 8 -</w:t>
                    </w:r>
                    <w:r>
                      <w:rPr>
                        <w:b/>
                        <w:bCs/>
                      </w:rPr>
                      <w:fldChar w:fldCharType="end"/>
                    </w:r>
                  </w:p>
                </w:txbxContent>
              </v:textbox>
            </v:shape>
          </w:pict>
        </mc:Fallback>
      </mc:AlternateContent>
    </w:r>
  </w:p>
  <w:p w14:paraId="53740760">
    <w:pPr>
      <w:pStyle w:val="3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F53A9">
    <w:pPr>
      <w:pStyle w:val="30"/>
      <w:jc w:val="center"/>
    </w:pPr>
    <w:r>
      <w:fldChar w:fldCharType="begin"/>
    </w:r>
    <w:r>
      <w:instrText xml:space="preserve"> PAGE   \* MERGEFORMAT </w:instrText>
    </w:r>
    <w:r>
      <w:fldChar w:fldCharType="separate"/>
    </w:r>
    <w:r>
      <w:rPr>
        <w:lang w:val="zh-CN"/>
      </w:rPr>
      <w:t>20</w:t>
    </w:r>
    <w:r>
      <w:rPr>
        <w:lang w:val="zh-CN"/>
      </w:rPr>
      <w:fldChar w:fldCharType="end"/>
    </w:r>
  </w:p>
  <w:p w14:paraId="4F01B8C1">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EEBA3">
    <w:pPr>
      <w:pStyle w:val="30"/>
      <w:jc w:val="center"/>
    </w:pPr>
    <w:r>
      <w:rPr>
        <w:b/>
        <w:bCs/>
      </w:rPr>
      <w:fldChar w:fldCharType="begin"/>
    </w:r>
    <w:r>
      <w:rPr>
        <w:b/>
        <w:bCs/>
      </w:rPr>
      <w:instrText xml:space="preserve">PAGE</w:instrText>
    </w:r>
    <w:r>
      <w:rPr>
        <w:b/>
        <w:bCs/>
      </w:rPr>
      <w:fldChar w:fldCharType="separate"/>
    </w:r>
    <w:r>
      <w:rPr>
        <w:b/>
        <w:bCs/>
      </w:rPr>
      <w:t>32</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34</w:t>
    </w:r>
    <w:r>
      <w:rPr>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E3EA">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D"/>
    <w:multiLevelType w:val="multilevel"/>
    <w:tmpl w:val="0000003D"/>
    <w:lvl w:ilvl="0" w:tentative="0">
      <w:start w:val="1"/>
      <w:numFmt w:val="chineseCountingThousand"/>
      <w:pStyle w:val="4"/>
      <w:lvlText w:val="第%1部分"/>
      <w:lvlJc w:val="left"/>
    </w:lvl>
    <w:lvl w:ilvl="1" w:tentative="0">
      <w:start w:val="1"/>
      <w:numFmt w:val="none"/>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1">
    <w:nsid w:val="0B9184A0"/>
    <w:multiLevelType w:val="singleLevel"/>
    <w:tmpl w:val="0B9184A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4"/>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MGMwODZjMjQ4M2QzMDQ3ZmVhNGFhZGIyZTNjNjIifQ=="/>
  </w:docVars>
  <w:rsids>
    <w:rsidRoot w:val="00172A27"/>
    <w:rsid w:val="00001846"/>
    <w:rsid w:val="000058C1"/>
    <w:rsid w:val="00005F7A"/>
    <w:rsid w:val="00007F59"/>
    <w:rsid w:val="0001029F"/>
    <w:rsid w:val="000102D4"/>
    <w:rsid w:val="00016294"/>
    <w:rsid w:val="00016442"/>
    <w:rsid w:val="00021EFF"/>
    <w:rsid w:val="00021FC4"/>
    <w:rsid w:val="00022717"/>
    <w:rsid w:val="00023C53"/>
    <w:rsid w:val="00023F8C"/>
    <w:rsid w:val="0002545F"/>
    <w:rsid w:val="00025787"/>
    <w:rsid w:val="00026B68"/>
    <w:rsid w:val="00033FEB"/>
    <w:rsid w:val="00034047"/>
    <w:rsid w:val="0003602F"/>
    <w:rsid w:val="000361E7"/>
    <w:rsid w:val="000379D0"/>
    <w:rsid w:val="00037B25"/>
    <w:rsid w:val="00037B3B"/>
    <w:rsid w:val="0004117F"/>
    <w:rsid w:val="0004431A"/>
    <w:rsid w:val="00044F6A"/>
    <w:rsid w:val="00045251"/>
    <w:rsid w:val="00050BBD"/>
    <w:rsid w:val="0005145C"/>
    <w:rsid w:val="00054028"/>
    <w:rsid w:val="00054A74"/>
    <w:rsid w:val="00055047"/>
    <w:rsid w:val="00056E5D"/>
    <w:rsid w:val="0005762B"/>
    <w:rsid w:val="000606F5"/>
    <w:rsid w:val="00062482"/>
    <w:rsid w:val="00063304"/>
    <w:rsid w:val="000643A3"/>
    <w:rsid w:val="000655FD"/>
    <w:rsid w:val="00065733"/>
    <w:rsid w:val="00065E68"/>
    <w:rsid w:val="00066618"/>
    <w:rsid w:val="00071345"/>
    <w:rsid w:val="00071716"/>
    <w:rsid w:val="00074B89"/>
    <w:rsid w:val="000813AA"/>
    <w:rsid w:val="000823F4"/>
    <w:rsid w:val="00083910"/>
    <w:rsid w:val="00084E31"/>
    <w:rsid w:val="00085F8A"/>
    <w:rsid w:val="00090781"/>
    <w:rsid w:val="00091E75"/>
    <w:rsid w:val="000939C5"/>
    <w:rsid w:val="00094062"/>
    <w:rsid w:val="000978C3"/>
    <w:rsid w:val="00097CA4"/>
    <w:rsid w:val="000A2C95"/>
    <w:rsid w:val="000A2F79"/>
    <w:rsid w:val="000A710B"/>
    <w:rsid w:val="000B2047"/>
    <w:rsid w:val="000B2801"/>
    <w:rsid w:val="000B38FB"/>
    <w:rsid w:val="000B4A07"/>
    <w:rsid w:val="000C2A0A"/>
    <w:rsid w:val="000C2F3B"/>
    <w:rsid w:val="000C3E5E"/>
    <w:rsid w:val="000C4679"/>
    <w:rsid w:val="000D121D"/>
    <w:rsid w:val="000D204D"/>
    <w:rsid w:val="000D2353"/>
    <w:rsid w:val="000D2C01"/>
    <w:rsid w:val="000D4C32"/>
    <w:rsid w:val="000D694F"/>
    <w:rsid w:val="000D6E50"/>
    <w:rsid w:val="000E1395"/>
    <w:rsid w:val="000E2CFE"/>
    <w:rsid w:val="000E66F3"/>
    <w:rsid w:val="000F36F0"/>
    <w:rsid w:val="00100AF9"/>
    <w:rsid w:val="00100FE7"/>
    <w:rsid w:val="001020F7"/>
    <w:rsid w:val="00103167"/>
    <w:rsid w:val="00103D77"/>
    <w:rsid w:val="00105BBC"/>
    <w:rsid w:val="001062B6"/>
    <w:rsid w:val="00110BA5"/>
    <w:rsid w:val="0011354B"/>
    <w:rsid w:val="00113EAD"/>
    <w:rsid w:val="001144E0"/>
    <w:rsid w:val="0011474C"/>
    <w:rsid w:val="001157A7"/>
    <w:rsid w:val="001161CF"/>
    <w:rsid w:val="00120CE9"/>
    <w:rsid w:val="00123BD5"/>
    <w:rsid w:val="00125073"/>
    <w:rsid w:val="00127592"/>
    <w:rsid w:val="0013050F"/>
    <w:rsid w:val="00130CA2"/>
    <w:rsid w:val="001311B6"/>
    <w:rsid w:val="0013239E"/>
    <w:rsid w:val="00132A4A"/>
    <w:rsid w:val="00133CBD"/>
    <w:rsid w:val="00135173"/>
    <w:rsid w:val="00136FE5"/>
    <w:rsid w:val="00137700"/>
    <w:rsid w:val="001419C0"/>
    <w:rsid w:val="00141EA3"/>
    <w:rsid w:val="0014374E"/>
    <w:rsid w:val="00143DAB"/>
    <w:rsid w:val="001505CF"/>
    <w:rsid w:val="00150875"/>
    <w:rsid w:val="00150D75"/>
    <w:rsid w:val="001528E4"/>
    <w:rsid w:val="00157327"/>
    <w:rsid w:val="00157F05"/>
    <w:rsid w:val="001657AA"/>
    <w:rsid w:val="001663EB"/>
    <w:rsid w:val="00171952"/>
    <w:rsid w:val="00172A27"/>
    <w:rsid w:val="00181ECB"/>
    <w:rsid w:val="0018394A"/>
    <w:rsid w:val="00186A58"/>
    <w:rsid w:val="00192AB4"/>
    <w:rsid w:val="001976BE"/>
    <w:rsid w:val="001A0983"/>
    <w:rsid w:val="001B0894"/>
    <w:rsid w:val="001B271D"/>
    <w:rsid w:val="001B4D1C"/>
    <w:rsid w:val="001B4E47"/>
    <w:rsid w:val="001B4F3E"/>
    <w:rsid w:val="001B56E3"/>
    <w:rsid w:val="001B5775"/>
    <w:rsid w:val="001B6B02"/>
    <w:rsid w:val="001C2231"/>
    <w:rsid w:val="001C279C"/>
    <w:rsid w:val="001C4054"/>
    <w:rsid w:val="001C47D0"/>
    <w:rsid w:val="001C6469"/>
    <w:rsid w:val="001D0AEE"/>
    <w:rsid w:val="001D1E4A"/>
    <w:rsid w:val="001D221D"/>
    <w:rsid w:val="001D60DD"/>
    <w:rsid w:val="001E0005"/>
    <w:rsid w:val="001E3534"/>
    <w:rsid w:val="001E48AB"/>
    <w:rsid w:val="001F4880"/>
    <w:rsid w:val="001F5A4B"/>
    <w:rsid w:val="001F650B"/>
    <w:rsid w:val="00200061"/>
    <w:rsid w:val="00201B85"/>
    <w:rsid w:val="00204C21"/>
    <w:rsid w:val="00206420"/>
    <w:rsid w:val="00206AF1"/>
    <w:rsid w:val="00206B5F"/>
    <w:rsid w:val="00207784"/>
    <w:rsid w:val="00207F85"/>
    <w:rsid w:val="00211E09"/>
    <w:rsid w:val="00223466"/>
    <w:rsid w:val="00224F5F"/>
    <w:rsid w:val="0022542D"/>
    <w:rsid w:val="00225670"/>
    <w:rsid w:val="002257D7"/>
    <w:rsid w:val="00225DFC"/>
    <w:rsid w:val="00231148"/>
    <w:rsid w:val="002315E8"/>
    <w:rsid w:val="00234CC1"/>
    <w:rsid w:val="00235015"/>
    <w:rsid w:val="00235D2F"/>
    <w:rsid w:val="00236425"/>
    <w:rsid w:val="00237122"/>
    <w:rsid w:val="00240EF7"/>
    <w:rsid w:val="002416D0"/>
    <w:rsid w:val="00245B72"/>
    <w:rsid w:val="002465F4"/>
    <w:rsid w:val="00247445"/>
    <w:rsid w:val="002509ED"/>
    <w:rsid w:val="00253F6B"/>
    <w:rsid w:val="00255B0B"/>
    <w:rsid w:val="00260193"/>
    <w:rsid w:val="00260CD4"/>
    <w:rsid w:val="002611FD"/>
    <w:rsid w:val="00261BC6"/>
    <w:rsid w:val="002656FE"/>
    <w:rsid w:val="00266DB4"/>
    <w:rsid w:val="0026722D"/>
    <w:rsid w:val="00271E05"/>
    <w:rsid w:val="002743B2"/>
    <w:rsid w:val="00275DE2"/>
    <w:rsid w:val="002818BB"/>
    <w:rsid w:val="00291332"/>
    <w:rsid w:val="00291738"/>
    <w:rsid w:val="00293482"/>
    <w:rsid w:val="00296D77"/>
    <w:rsid w:val="0029796E"/>
    <w:rsid w:val="002A08A4"/>
    <w:rsid w:val="002A09EE"/>
    <w:rsid w:val="002A1F8F"/>
    <w:rsid w:val="002A2D12"/>
    <w:rsid w:val="002A2F7D"/>
    <w:rsid w:val="002A7980"/>
    <w:rsid w:val="002B1ECE"/>
    <w:rsid w:val="002B7251"/>
    <w:rsid w:val="002B77A5"/>
    <w:rsid w:val="002B7CFD"/>
    <w:rsid w:val="002C2290"/>
    <w:rsid w:val="002C3237"/>
    <w:rsid w:val="002C5470"/>
    <w:rsid w:val="002C71C8"/>
    <w:rsid w:val="002D7709"/>
    <w:rsid w:val="002D7C8B"/>
    <w:rsid w:val="002E0741"/>
    <w:rsid w:val="002E0747"/>
    <w:rsid w:val="002E0797"/>
    <w:rsid w:val="002E1128"/>
    <w:rsid w:val="002E214B"/>
    <w:rsid w:val="002E385C"/>
    <w:rsid w:val="002E5876"/>
    <w:rsid w:val="002E5B21"/>
    <w:rsid w:val="002E62B0"/>
    <w:rsid w:val="002F2C1A"/>
    <w:rsid w:val="002F2F03"/>
    <w:rsid w:val="002F677F"/>
    <w:rsid w:val="0030187C"/>
    <w:rsid w:val="00303A7A"/>
    <w:rsid w:val="00305B2D"/>
    <w:rsid w:val="003061D0"/>
    <w:rsid w:val="00307ADC"/>
    <w:rsid w:val="00307C0A"/>
    <w:rsid w:val="003101C1"/>
    <w:rsid w:val="00310F1D"/>
    <w:rsid w:val="00314EA0"/>
    <w:rsid w:val="003175A8"/>
    <w:rsid w:val="0032064F"/>
    <w:rsid w:val="003223D2"/>
    <w:rsid w:val="003311BA"/>
    <w:rsid w:val="00331BE9"/>
    <w:rsid w:val="00332927"/>
    <w:rsid w:val="003339B0"/>
    <w:rsid w:val="003348A4"/>
    <w:rsid w:val="00335723"/>
    <w:rsid w:val="003358D8"/>
    <w:rsid w:val="003400F8"/>
    <w:rsid w:val="003427C3"/>
    <w:rsid w:val="003428D6"/>
    <w:rsid w:val="00343431"/>
    <w:rsid w:val="00343F86"/>
    <w:rsid w:val="00346FA1"/>
    <w:rsid w:val="00347DEF"/>
    <w:rsid w:val="00350C1C"/>
    <w:rsid w:val="003525AD"/>
    <w:rsid w:val="00355DBE"/>
    <w:rsid w:val="00356CA9"/>
    <w:rsid w:val="003621DE"/>
    <w:rsid w:val="003643E9"/>
    <w:rsid w:val="00370706"/>
    <w:rsid w:val="00372BAE"/>
    <w:rsid w:val="003740F9"/>
    <w:rsid w:val="00374DDC"/>
    <w:rsid w:val="0037506D"/>
    <w:rsid w:val="003817E3"/>
    <w:rsid w:val="00381EBE"/>
    <w:rsid w:val="0038506A"/>
    <w:rsid w:val="003858EF"/>
    <w:rsid w:val="0038623A"/>
    <w:rsid w:val="00396574"/>
    <w:rsid w:val="003967B3"/>
    <w:rsid w:val="00397129"/>
    <w:rsid w:val="003975A5"/>
    <w:rsid w:val="0039790E"/>
    <w:rsid w:val="00397C9B"/>
    <w:rsid w:val="003A01C6"/>
    <w:rsid w:val="003A3BAC"/>
    <w:rsid w:val="003A3FC8"/>
    <w:rsid w:val="003A5164"/>
    <w:rsid w:val="003A5379"/>
    <w:rsid w:val="003A57BD"/>
    <w:rsid w:val="003B5138"/>
    <w:rsid w:val="003C1DC6"/>
    <w:rsid w:val="003C286E"/>
    <w:rsid w:val="003D0A3A"/>
    <w:rsid w:val="003D58F8"/>
    <w:rsid w:val="003D5966"/>
    <w:rsid w:val="003D6CB7"/>
    <w:rsid w:val="003D77DF"/>
    <w:rsid w:val="003E40AE"/>
    <w:rsid w:val="003E5F57"/>
    <w:rsid w:val="003E6CA3"/>
    <w:rsid w:val="003E7713"/>
    <w:rsid w:val="003F4B46"/>
    <w:rsid w:val="003F5DC4"/>
    <w:rsid w:val="00403824"/>
    <w:rsid w:val="004050BB"/>
    <w:rsid w:val="004059F8"/>
    <w:rsid w:val="004064B2"/>
    <w:rsid w:val="004066D6"/>
    <w:rsid w:val="00407C91"/>
    <w:rsid w:val="00410351"/>
    <w:rsid w:val="00411773"/>
    <w:rsid w:val="00416053"/>
    <w:rsid w:val="004161DA"/>
    <w:rsid w:val="00416484"/>
    <w:rsid w:val="00417B98"/>
    <w:rsid w:val="00420773"/>
    <w:rsid w:val="00425FD6"/>
    <w:rsid w:val="004279C7"/>
    <w:rsid w:val="0043369C"/>
    <w:rsid w:val="00433D14"/>
    <w:rsid w:val="00433D36"/>
    <w:rsid w:val="00433F89"/>
    <w:rsid w:val="004343B8"/>
    <w:rsid w:val="0043477C"/>
    <w:rsid w:val="00434E35"/>
    <w:rsid w:val="00437C76"/>
    <w:rsid w:val="00447C56"/>
    <w:rsid w:val="00451E6C"/>
    <w:rsid w:val="00452DB0"/>
    <w:rsid w:val="00453C4A"/>
    <w:rsid w:val="00453E65"/>
    <w:rsid w:val="004561B2"/>
    <w:rsid w:val="0045785B"/>
    <w:rsid w:val="00462384"/>
    <w:rsid w:val="004623F7"/>
    <w:rsid w:val="0046356E"/>
    <w:rsid w:val="004719DC"/>
    <w:rsid w:val="004721E5"/>
    <w:rsid w:val="00481283"/>
    <w:rsid w:val="0048159E"/>
    <w:rsid w:val="004817D8"/>
    <w:rsid w:val="004820DF"/>
    <w:rsid w:val="00482A61"/>
    <w:rsid w:val="00484D71"/>
    <w:rsid w:val="00490AC6"/>
    <w:rsid w:val="00491943"/>
    <w:rsid w:val="004933F8"/>
    <w:rsid w:val="00493E82"/>
    <w:rsid w:val="00496D73"/>
    <w:rsid w:val="004A377D"/>
    <w:rsid w:val="004A405A"/>
    <w:rsid w:val="004A56DD"/>
    <w:rsid w:val="004A5934"/>
    <w:rsid w:val="004A7F32"/>
    <w:rsid w:val="004B1233"/>
    <w:rsid w:val="004B208A"/>
    <w:rsid w:val="004B4553"/>
    <w:rsid w:val="004B67DE"/>
    <w:rsid w:val="004B7D94"/>
    <w:rsid w:val="004C05C3"/>
    <w:rsid w:val="004C06BA"/>
    <w:rsid w:val="004C2A62"/>
    <w:rsid w:val="004C420A"/>
    <w:rsid w:val="004C434E"/>
    <w:rsid w:val="004D00F8"/>
    <w:rsid w:val="004D097D"/>
    <w:rsid w:val="004D09AE"/>
    <w:rsid w:val="004D110E"/>
    <w:rsid w:val="004D2A64"/>
    <w:rsid w:val="004E21F1"/>
    <w:rsid w:val="004E51E0"/>
    <w:rsid w:val="004E704E"/>
    <w:rsid w:val="004F364D"/>
    <w:rsid w:val="004F534F"/>
    <w:rsid w:val="004F6D64"/>
    <w:rsid w:val="004F7AFA"/>
    <w:rsid w:val="00503EBC"/>
    <w:rsid w:val="00504311"/>
    <w:rsid w:val="005060AC"/>
    <w:rsid w:val="00510574"/>
    <w:rsid w:val="00510919"/>
    <w:rsid w:val="005129D6"/>
    <w:rsid w:val="00513F04"/>
    <w:rsid w:val="00514849"/>
    <w:rsid w:val="00514F19"/>
    <w:rsid w:val="005164FD"/>
    <w:rsid w:val="0051662D"/>
    <w:rsid w:val="005177C6"/>
    <w:rsid w:val="005212FD"/>
    <w:rsid w:val="00524448"/>
    <w:rsid w:val="00526435"/>
    <w:rsid w:val="005300E8"/>
    <w:rsid w:val="00531DCB"/>
    <w:rsid w:val="00532531"/>
    <w:rsid w:val="00532C54"/>
    <w:rsid w:val="0053522F"/>
    <w:rsid w:val="0053747E"/>
    <w:rsid w:val="0053785D"/>
    <w:rsid w:val="00537AF6"/>
    <w:rsid w:val="00537DF0"/>
    <w:rsid w:val="00540647"/>
    <w:rsid w:val="00540E45"/>
    <w:rsid w:val="00547813"/>
    <w:rsid w:val="005478BE"/>
    <w:rsid w:val="005506EF"/>
    <w:rsid w:val="00550A63"/>
    <w:rsid w:val="00551D57"/>
    <w:rsid w:val="005520FF"/>
    <w:rsid w:val="005542D7"/>
    <w:rsid w:val="00555558"/>
    <w:rsid w:val="00556AF7"/>
    <w:rsid w:val="00556C0B"/>
    <w:rsid w:val="00560E05"/>
    <w:rsid w:val="0056421D"/>
    <w:rsid w:val="00565752"/>
    <w:rsid w:val="005658DD"/>
    <w:rsid w:val="00567762"/>
    <w:rsid w:val="00567C82"/>
    <w:rsid w:val="00570C05"/>
    <w:rsid w:val="00573D1A"/>
    <w:rsid w:val="00574C7B"/>
    <w:rsid w:val="00575CC1"/>
    <w:rsid w:val="00575F45"/>
    <w:rsid w:val="00576BA1"/>
    <w:rsid w:val="005804A2"/>
    <w:rsid w:val="00580A48"/>
    <w:rsid w:val="00581E67"/>
    <w:rsid w:val="005823FB"/>
    <w:rsid w:val="005843B8"/>
    <w:rsid w:val="00585154"/>
    <w:rsid w:val="00591060"/>
    <w:rsid w:val="0059320F"/>
    <w:rsid w:val="00594010"/>
    <w:rsid w:val="00594BBE"/>
    <w:rsid w:val="005955DC"/>
    <w:rsid w:val="00595FA9"/>
    <w:rsid w:val="005972BA"/>
    <w:rsid w:val="005972C3"/>
    <w:rsid w:val="005A52A9"/>
    <w:rsid w:val="005A673F"/>
    <w:rsid w:val="005A68E8"/>
    <w:rsid w:val="005B1057"/>
    <w:rsid w:val="005B21DF"/>
    <w:rsid w:val="005B308C"/>
    <w:rsid w:val="005C0614"/>
    <w:rsid w:val="005C0967"/>
    <w:rsid w:val="005C176A"/>
    <w:rsid w:val="005C1FF5"/>
    <w:rsid w:val="005C2B69"/>
    <w:rsid w:val="005C7AF2"/>
    <w:rsid w:val="005D4622"/>
    <w:rsid w:val="005D56A9"/>
    <w:rsid w:val="005D60C9"/>
    <w:rsid w:val="005E4F01"/>
    <w:rsid w:val="005E5EDB"/>
    <w:rsid w:val="005E70E4"/>
    <w:rsid w:val="005E7AE6"/>
    <w:rsid w:val="005F44E9"/>
    <w:rsid w:val="00600D08"/>
    <w:rsid w:val="00603887"/>
    <w:rsid w:val="0060566C"/>
    <w:rsid w:val="00612E25"/>
    <w:rsid w:val="00617F45"/>
    <w:rsid w:val="00622E32"/>
    <w:rsid w:val="006231DE"/>
    <w:rsid w:val="00624133"/>
    <w:rsid w:val="00624E4B"/>
    <w:rsid w:val="00626C16"/>
    <w:rsid w:val="00627EC6"/>
    <w:rsid w:val="00630B33"/>
    <w:rsid w:val="00635629"/>
    <w:rsid w:val="00636961"/>
    <w:rsid w:val="00640343"/>
    <w:rsid w:val="0064036E"/>
    <w:rsid w:val="00640665"/>
    <w:rsid w:val="0065025F"/>
    <w:rsid w:val="0065063B"/>
    <w:rsid w:val="0065066E"/>
    <w:rsid w:val="006532BB"/>
    <w:rsid w:val="006533D1"/>
    <w:rsid w:val="00660B18"/>
    <w:rsid w:val="00662669"/>
    <w:rsid w:val="00662D7B"/>
    <w:rsid w:val="0066442C"/>
    <w:rsid w:val="006724B4"/>
    <w:rsid w:val="00674238"/>
    <w:rsid w:val="00681F0C"/>
    <w:rsid w:val="0068305C"/>
    <w:rsid w:val="006857B3"/>
    <w:rsid w:val="00685AC6"/>
    <w:rsid w:val="00685DB2"/>
    <w:rsid w:val="006869E9"/>
    <w:rsid w:val="00691A51"/>
    <w:rsid w:val="00691E68"/>
    <w:rsid w:val="00695F5C"/>
    <w:rsid w:val="006A0069"/>
    <w:rsid w:val="006A01B3"/>
    <w:rsid w:val="006A2399"/>
    <w:rsid w:val="006A2411"/>
    <w:rsid w:val="006A3276"/>
    <w:rsid w:val="006A3C44"/>
    <w:rsid w:val="006A454F"/>
    <w:rsid w:val="006A4FF1"/>
    <w:rsid w:val="006B137D"/>
    <w:rsid w:val="006B5A48"/>
    <w:rsid w:val="006C0AE2"/>
    <w:rsid w:val="006C2924"/>
    <w:rsid w:val="006C4232"/>
    <w:rsid w:val="006D2963"/>
    <w:rsid w:val="006D485E"/>
    <w:rsid w:val="006D4923"/>
    <w:rsid w:val="006D69F6"/>
    <w:rsid w:val="006E0C07"/>
    <w:rsid w:val="006E2A01"/>
    <w:rsid w:val="006E78FC"/>
    <w:rsid w:val="006F005C"/>
    <w:rsid w:val="006F1BC8"/>
    <w:rsid w:val="006F27A5"/>
    <w:rsid w:val="006F7D2C"/>
    <w:rsid w:val="00700877"/>
    <w:rsid w:val="00700A06"/>
    <w:rsid w:val="00707151"/>
    <w:rsid w:val="00707BF4"/>
    <w:rsid w:val="00710FDC"/>
    <w:rsid w:val="00711087"/>
    <w:rsid w:val="00711337"/>
    <w:rsid w:val="00711C49"/>
    <w:rsid w:val="00714F75"/>
    <w:rsid w:val="00715679"/>
    <w:rsid w:val="00722187"/>
    <w:rsid w:val="007243DF"/>
    <w:rsid w:val="00730BEA"/>
    <w:rsid w:val="0073114F"/>
    <w:rsid w:val="00731507"/>
    <w:rsid w:val="007319A3"/>
    <w:rsid w:val="0073343E"/>
    <w:rsid w:val="00737082"/>
    <w:rsid w:val="00751575"/>
    <w:rsid w:val="00752A41"/>
    <w:rsid w:val="00753B5F"/>
    <w:rsid w:val="00754434"/>
    <w:rsid w:val="00755BF0"/>
    <w:rsid w:val="00756C6B"/>
    <w:rsid w:val="0076084E"/>
    <w:rsid w:val="00763D48"/>
    <w:rsid w:val="007643DF"/>
    <w:rsid w:val="00766DBF"/>
    <w:rsid w:val="007707B5"/>
    <w:rsid w:val="0077231F"/>
    <w:rsid w:val="0077585D"/>
    <w:rsid w:val="0077728B"/>
    <w:rsid w:val="007801C6"/>
    <w:rsid w:val="00782093"/>
    <w:rsid w:val="00787753"/>
    <w:rsid w:val="00787FF9"/>
    <w:rsid w:val="0079111A"/>
    <w:rsid w:val="007912A4"/>
    <w:rsid w:val="00791ABB"/>
    <w:rsid w:val="00793083"/>
    <w:rsid w:val="00795CE4"/>
    <w:rsid w:val="00795E3E"/>
    <w:rsid w:val="007978F4"/>
    <w:rsid w:val="007A29CA"/>
    <w:rsid w:val="007A3F59"/>
    <w:rsid w:val="007A40A5"/>
    <w:rsid w:val="007A46CB"/>
    <w:rsid w:val="007A4F32"/>
    <w:rsid w:val="007A5123"/>
    <w:rsid w:val="007A57DE"/>
    <w:rsid w:val="007A775F"/>
    <w:rsid w:val="007B52DA"/>
    <w:rsid w:val="007B606D"/>
    <w:rsid w:val="007C100F"/>
    <w:rsid w:val="007C195A"/>
    <w:rsid w:val="007C49FB"/>
    <w:rsid w:val="007C7791"/>
    <w:rsid w:val="007C7845"/>
    <w:rsid w:val="007D017C"/>
    <w:rsid w:val="007D2325"/>
    <w:rsid w:val="007D288E"/>
    <w:rsid w:val="007D3C19"/>
    <w:rsid w:val="007D6568"/>
    <w:rsid w:val="007D7E47"/>
    <w:rsid w:val="007D7EAD"/>
    <w:rsid w:val="007E5AE8"/>
    <w:rsid w:val="007F08B4"/>
    <w:rsid w:val="007F5D32"/>
    <w:rsid w:val="007F621E"/>
    <w:rsid w:val="007F6B3A"/>
    <w:rsid w:val="007F7318"/>
    <w:rsid w:val="00802419"/>
    <w:rsid w:val="00803D57"/>
    <w:rsid w:val="0080404F"/>
    <w:rsid w:val="0080429F"/>
    <w:rsid w:val="00805863"/>
    <w:rsid w:val="00813985"/>
    <w:rsid w:val="00814343"/>
    <w:rsid w:val="00821F15"/>
    <w:rsid w:val="00822664"/>
    <w:rsid w:val="008242EB"/>
    <w:rsid w:val="00824DCB"/>
    <w:rsid w:val="0082509F"/>
    <w:rsid w:val="00833A03"/>
    <w:rsid w:val="00834A43"/>
    <w:rsid w:val="008364E9"/>
    <w:rsid w:val="0084159C"/>
    <w:rsid w:val="0084163C"/>
    <w:rsid w:val="0084730D"/>
    <w:rsid w:val="00850986"/>
    <w:rsid w:val="00851DD2"/>
    <w:rsid w:val="00853071"/>
    <w:rsid w:val="00856C37"/>
    <w:rsid w:val="008614A0"/>
    <w:rsid w:val="00861850"/>
    <w:rsid w:val="008619E5"/>
    <w:rsid w:val="00866018"/>
    <w:rsid w:val="008673FE"/>
    <w:rsid w:val="00873C20"/>
    <w:rsid w:val="0087464C"/>
    <w:rsid w:val="00874679"/>
    <w:rsid w:val="00881374"/>
    <w:rsid w:val="00881ADC"/>
    <w:rsid w:val="008836C9"/>
    <w:rsid w:val="00884D61"/>
    <w:rsid w:val="00885115"/>
    <w:rsid w:val="00886A80"/>
    <w:rsid w:val="00886E32"/>
    <w:rsid w:val="00891BB6"/>
    <w:rsid w:val="00896233"/>
    <w:rsid w:val="008A0C7E"/>
    <w:rsid w:val="008A1DDD"/>
    <w:rsid w:val="008A1F9B"/>
    <w:rsid w:val="008A5FAC"/>
    <w:rsid w:val="008A671F"/>
    <w:rsid w:val="008A7716"/>
    <w:rsid w:val="008A77DF"/>
    <w:rsid w:val="008B198C"/>
    <w:rsid w:val="008B51B0"/>
    <w:rsid w:val="008B5E27"/>
    <w:rsid w:val="008B6147"/>
    <w:rsid w:val="008C0A97"/>
    <w:rsid w:val="008C27C3"/>
    <w:rsid w:val="008C49C4"/>
    <w:rsid w:val="008C69DF"/>
    <w:rsid w:val="008C69E4"/>
    <w:rsid w:val="008C6B0A"/>
    <w:rsid w:val="008D1214"/>
    <w:rsid w:val="008D1A0F"/>
    <w:rsid w:val="008D2D0E"/>
    <w:rsid w:val="008D42AF"/>
    <w:rsid w:val="008D55D5"/>
    <w:rsid w:val="008D722A"/>
    <w:rsid w:val="008E14D6"/>
    <w:rsid w:val="008E1781"/>
    <w:rsid w:val="008E185D"/>
    <w:rsid w:val="008E188E"/>
    <w:rsid w:val="008E2232"/>
    <w:rsid w:val="008E3424"/>
    <w:rsid w:val="008E3891"/>
    <w:rsid w:val="008F2292"/>
    <w:rsid w:val="008F37FA"/>
    <w:rsid w:val="008F444E"/>
    <w:rsid w:val="008F44CB"/>
    <w:rsid w:val="008F4CB3"/>
    <w:rsid w:val="008F7D03"/>
    <w:rsid w:val="00900E85"/>
    <w:rsid w:val="0090226B"/>
    <w:rsid w:val="00904DBC"/>
    <w:rsid w:val="0090587E"/>
    <w:rsid w:val="00907FB5"/>
    <w:rsid w:val="00907FD8"/>
    <w:rsid w:val="00907FE3"/>
    <w:rsid w:val="0091265E"/>
    <w:rsid w:val="009142DA"/>
    <w:rsid w:val="00915AFC"/>
    <w:rsid w:val="009212CF"/>
    <w:rsid w:val="009230B6"/>
    <w:rsid w:val="00925B03"/>
    <w:rsid w:val="00931165"/>
    <w:rsid w:val="009312EF"/>
    <w:rsid w:val="009343B3"/>
    <w:rsid w:val="00934E93"/>
    <w:rsid w:val="009350AF"/>
    <w:rsid w:val="009353D7"/>
    <w:rsid w:val="009401C4"/>
    <w:rsid w:val="009416CA"/>
    <w:rsid w:val="009433B0"/>
    <w:rsid w:val="00943CEB"/>
    <w:rsid w:val="00947DE2"/>
    <w:rsid w:val="009505B0"/>
    <w:rsid w:val="009533E2"/>
    <w:rsid w:val="009546E5"/>
    <w:rsid w:val="00955ADB"/>
    <w:rsid w:val="00956621"/>
    <w:rsid w:val="00962E18"/>
    <w:rsid w:val="009710E0"/>
    <w:rsid w:val="009716AF"/>
    <w:rsid w:val="009722BC"/>
    <w:rsid w:val="0097298E"/>
    <w:rsid w:val="00974EFA"/>
    <w:rsid w:val="0098381E"/>
    <w:rsid w:val="00983BA5"/>
    <w:rsid w:val="00985679"/>
    <w:rsid w:val="00986B8F"/>
    <w:rsid w:val="0099104A"/>
    <w:rsid w:val="009921F5"/>
    <w:rsid w:val="00992988"/>
    <w:rsid w:val="00994A91"/>
    <w:rsid w:val="00995678"/>
    <w:rsid w:val="009A0603"/>
    <w:rsid w:val="009A1807"/>
    <w:rsid w:val="009A28C8"/>
    <w:rsid w:val="009A3F9E"/>
    <w:rsid w:val="009A52DD"/>
    <w:rsid w:val="009A5E11"/>
    <w:rsid w:val="009A6682"/>
    <w:rsid w:val="009B2446"/>
    <w:rsid w:val="009B38DD"/>
    <w:rsid w:val="009B4DDC"/>
    <w:rsid w:val="009B4FA1"/>
    <w:rsid w:val="009C2BE5"/>
    <w:rsid w:val="009C4FC2"/>
    <w:rsid w:val="009C67DC"/>
    <w:rsid w:val="009D31C3"/>
    <w:rsid w:val="009D7486"/>
    <w:rsid w:val="009E149C"/>
    <w:rsid w:val="009E5581"/>
    <w:rsid w:val="009E5F48"/>
    <w:rsid w:val="009E61A2"/>
    <w:rsid w:val="009F0E8B"/>
    <w:rsid w:val="009F2972"/>
    <w:rsid w:val="009F2FD8"/>
    <w:rsid w:val="009F30E6"/>
    <w:rsid w:val="009F69BB"/>
    <w:rsid w:val="009F6E7B"/>
    <w:rsid w:val="009F7311"/>
    <w:rsid w:val="00A0070C"/>
    <w:rsid w:val="00A03A53"/>
    <w:rsid w:val="00A04558"/>
    <w:rsid w:val="00A1005B"/>
    <w:rsid w:val="00A13F6A"/>
    <w:rsid w:val="00A15595"/>
    <w:rsid w:val="00A171CD"/>
    <w:rsid w:val="00A17A38"/>
    <w:rsid w:val="00A17B9F"/>
    <w:rsid w:val="00A21916"/>
    <w:rsid w:val="00A22747"/>
    <w:rsid w:val="00A2436B"/>
    <w:rsid w:val="00A30720"/>
    <w:rsid w:val="00A357CF"/>
    <w:rsid w:val="00A359A2"/>
    <w:rsid w:val="00A368BE"/>
    <w:rsid w:val="00A40656"/>
    <w:rsid w:val="00A442F4"/>
    <w:rsid w:val="00A46D18"/>
    <w:rsid w:val="00A5270F"/>
    <w:rsid w:val="00A63A3E"/>
    <w:rsid w:val="00A63AAE"/>
    <w:rsid w:val="00A63CBA"/>
    <w:rsid w:val="00A642C4"/>
    <w:rsid w:val="00A64CD7"/>
    <w:rsid w:val="00A652DA"/>
    <w:rsid w:val="00A7282B"/>
    <w:rsid w:val="00A81B7C"/>
    <w:rsid w:val="00A82436"/>
    <w:rsid w:val="00A825A6"/>
    <w:rsid w:val="00A82D72"/>
    <w:rsid w:val="00A84548"/>
    <w:rsid w:val="00A86365"/>
    <w:rsid w:val="00A9252B"/>
    <w:rsid w:val="00A92EBE"/>
    <w:rsid w:val="00A9516B"/>
    <w:rsid w:val="00A95AEB"/>
    <w:rsid w:val="00A96169"/>
    <w:rsid w:val="00A97A49"/>
    <w:rsid w:val="00AA0195"/>
    <w:rsid w:val="00AA2853"/>
    <w:rsid w:val="00AA36C7"/>
    <w:rsid w:val="00AA495E"/>
    <w:rsid w:val="00AA6934"/>
    <w:rsid w:val="00AA6E9D"/>
    <w:rsid w:val="00AA7BA4"/>
    <w:rsid w:val="00AB0C2C"/>
    <w:rsid w:val="00AB1078"/>
    <w:rsid w:val="00AB1346"/>
    <w:rsid w:val="00AB26DB"/>
    <w:rsid w:val="00AC0547"/>
    <w:rsid w:val="00AC202D"/>
    <w:rsid w:val="00AC4838"/>
    <w:rsid w:val="00AC685F"/>
    <w:rsid w:val="00AD0813"/>
    <w:rsid w:val="00AD24EF"/>
    <w:rsid w:val="00AD5A93"/>
    <w:rsid w:val="00AD7D6D"/>
    <w:rsid w:val="00AE024C"/>
    <w:rsid w:val="00AE371D"/>
    <w:rsid w:val="00AE39AB"/>
    <w:rsid w:val="00AE584F"/>
    <w:rsid w:val="00AE63C3"/>
    <w:rsid w:val="00AE7CFC"/>
    <w:rsid w:val="00AF291F"/>
    <w:rsid w:val="00AF3B7A"/>
    <w:rsid w:val="00AF6489"/>
    <w:rsid w:val="00AF79BD"/>
    <w:rsid w:val="00AF7A9F"/>
    <w:rsid w:val="00B01D34"/>
    <w:rsid w:val="00B03609"/>
    <w:rsid w:val="00B03831"/>
    <w:rsid w:val="00B03DBB"/>
    <w:rsid w:val="00B04254"/>
    <w:rsid w:val="00B05449"/>
    <w:rsid w:val="00B05903"/>
    <w:rsid w:val="00B06E17"/>
    <w:rsid w:val="00B10648"/>
    <w:rsid w:val="00B15007"/>
    <w:rsid w:val="00B16DCF"/>
    <w:rsid w:val="00B16DE7"/>
    <w:rsid w:val="00B17122"/>
    <w:rsid w:val="00B179CD"/>
    <w:rsid w:val="00B225D7"/>
    <w:rsid w:val="00B24177"/>
    <w:rsid w:val="00B30D05"/>
    <w:rsid w:val="00B327DB"/>
    <w:rsid w:val="00B357A3"/>
    <w:rsid w:val="00B41871"/>
    <w:rsid w:val="00B4336F"/>
    <w:rsid w:val="00B4522D"/>
    <w:rsid w:val="00B4598F"/>
    <w:rsid w:val="00B46BF7"/>
    <w:rsid w:val="00B50E29"/>
    <w:rsid w:val="00B51E97"/>
    <w:rsid w:val="00B5327F"/>
    <w:rsid w:val="00B565FE"/>
    <w:rsid w:val="00B57C66"/>
    <w:rsid w:val="00B60458"/>
    <w:rsid w:val="00B61DC3"/>
    <w:rsid w:val="00B633C4"/>
    <w:rsid w:val="00B661BF"/>
    <w:rsid w:val="00B67AEA"/>
    <w:rsid w:val="00B72C66"/>
    <w:rsid w:val="00B73C62"/>
    <w:rsid w:val="00B83C32"/>
    <w:rsid w:val="00B84515"/>
    <w:rsid w:val="00B85816"/>
    <w:rsid w:val="00B875C0"/>
    <w:rsid w:val="00B90608"/>
    <w:rsid w:val="00B9166F"/>
    <w:rsid w:val="00B9205E"/>
    <w:rsid w:val="00B920AD"/>
    <w:rsid w:val="00B94C8E"/>
    <w:rsid w:val="00B966AC"/>
    <w:rsid w:val="00BA1064"/>
    <w:rsid w:val="00BA2DC9"/>
    <w:rsid w:val="00BA485C"/>
    <w:rsid w:val="00BA48FC"/>
    <w:rsid w:val="00BA4C75"/>
    <w:rsid w:val="00BA6979"/>
    <w:rsid w:val="00BA790D"/>
    <w:rsid w:val="00BB0670"/>
    <w:rsid w:val="00BB279B"/>
    <w:rsid w:val="00BB4323"/>
    <w:rsid w:val="00BB452C"/>
    <w:rsid w:val="00BB4532"/>
    <w:rsid w:val="00BB4A21"/>
    <w:rsid w:val="00BB650B"/>
    <w:rsid w:val="00BB6BFB"/>
    <w:rsid w:val="00BC58A4"/>
    <w:rsid w:val="00BC781E"/>
    <w:rsid w:val="00BD1973"/>
    <w:rsid w:val="00BD358F"/>
    <w:rsid w:val="00BD4809"/>
    <w:rsid w:val="00BD4D30"/>
    <w:rsid w:val="00BD5518"/>
    <w:rsid w:val="00BD5E5C"/>
    <w:rsid w:val="00BD5F32"/>
    <w:rsid w:val="00BD60C8"/>
    <w:rsid w:val="00BD61B0"/>
    <w:rsid w:val="00BD774B"/>
    <w:rsid w:val="00BE437C"/>
    <w:rsid w:val="00BE5949"/>
    <w:rsid w:val="00BF0241"/>
    <w:rsid w:val="00BF3055"/>
    <w:rsid w:val="00BF32DD"/>
    <w:rsid w:val="00BF3E3E"/>
    <w:rsid w:val="00BF7DE5"/>
    <w:rsid w:val="00C01D39"/>
    <w:rsid w:val="00C02E08"/>
    <w:rsid w:val="00C05C52"/>
    <w:rsid w:val="00C06C84"/>
    <w:rsid w:val="00C103CD"/>
    <w:rsid w:val="00C1253A"/>
    <w:rsid w:val="00C12544"/>
    <w:rsid w:val="00C12799"/>
    <w:rsid w:val="00C213E5"/>
    <w:rsid w:val="00C21A0A"/>
    <w:rsid w:val="00C25C9B"/>
    <w:rsid w:val="00C261AB"/>
    <w:rsid w:val="00C32303"/>
    <w:rsid w:val="00C33E0C"/>
    <w:rsid w:val="00C36220"/>
    <w:rsid w:val="00C362DF"/>
    <w:rsid w:val="00C42BB6"/>
    <w:rsid w:val="00C5077E"/>
    <w:rsid w:val="00C537C1"/>
    <w:rsid w:val="00C601D5"/>
    <w:rsid w:val="00C60DC9"/>
    <w:rsid w:val="00C623F7"/>
    <w:rsid w:val="00C63034"/>
    <w:rsid w:val="00C6413D"/>
    <w:rsid w:val="00C65ACA"/>
    <w:rsid w:val="00C66C45"/>
    <w:rsid w:val="00C67F24"/>
    <w:rsid w:val="00C716A7"/>
    <w:rsid w:val="00C73F67"/>
    <w:rsid w:val="00C75E74"/>
    <w:rsid w:val="00C77802"/>
    <w:rsid w:val="00C81801"/>
    <w:rsid w:val="00C833E2"/>
    <w:rsid w:val="00C86011"/>
    <w:rsid w:val="00C8675F"/>
    <w:rsid w:val="00C92B10"/>
    <w:rsid w:val="00C94724"/>
    <w:rsid w:val="00C949CE"/>
    <w:rsid w:val="00C953DF"/>
    <w:rsid w:val="00C963B6"/>
    <w:rsid w:val="00C966DF"/>
    <w:rsid w:val="00C97E68"/>
    <w:rsid w:val="00CA0271"/>
    <w:rsid w:val="00CA27FF"/>
    <w:rsid w:val="00CA3DB6"/>
    <w:rsid w:val="00CA478F"/>
    <w:rsid w:val="00CA56B5"/>
    <w:rsid w:val="00CA5DFF"/>
    <w:rsid w:val="00CA6C87"/>
    <w:rsid w:val="00CA7956"/>
    <w:rsid w:val="00CB00AB"/>
    <w:rsid w:val="00CB670E"/>
    <w:rsid w:val="00CB677B"/>
    <w:rsid w:val="00CB6E94"/>
    <w:rsid w:val="00CB74DE"/>
    <w:rsid w:val="00CC0D30"/>
    <w:rsid w:val="00CC22FF"/>
    <w:rsid w:val="00CC5ABC"/>
    <w:rsid w:val="00CC6901"/>
    <w:rsid w:val="00CC7E4B"/>
    <w:rsid w:val="00CD078C"/>
    <w:rsid w:val="00CD27BA"/>
    <w:rsid w:val="00CD2C75"/>
    <w:rsid w:val="00CD5DE2"/>
    <w:rsid w:val="00CD6C97"/>
    <w:rsid w:val="00CE07BB"/>
    <w:rsid w:val="00CE3D24"/>
    <w:rsid w:val="00CE64D2"/>
    <w:rsid w:val="00CF055B"/>
    <w:rsid w:val="00CF262A"/>
    <w:rsid w:val="00CF2864"/>
    <w:rsid w:val="00CF53AC"/>
    <w:rsid w:val="00D11D6B"/>
    <w:rsid w:val="00D12B9D"/>
    <w:rsid w:val="00D135A1"/>
    <w:rsid w:val="00D14282"/>
    <w:rsid w:val="00D144D7"/>
    <w:rsid w:val="00D21EB2"/>
    <w:rsid w:val="00D22B47"/>
    <w:rsid w:val="00D22CF1"/>
    <w:rsid w:val="00D24484"/>
    <w:rsid w:val="00D320AF"/>
    <w:rsid w:val="00D32226"/>
    <w:rsid w:val="00D3542F"/>
    <w:rsid w:val="00D36772"/>
    <w:rsid w:val="00D37314"/>
    <w:rsid w:val="00D3784D"/>
    <w:rsid w:val="00D41B42"/>
    <w:rsid w:val="00D41C70"/>
    <w:rsid w:val="00D42B17"/>
    <w:rsid w:val="00D43F36"/>
    <w:rsid w:val="00D469C2"/>
    <w:rsid w:val="00D46DD3"/>
    <w:rsid w:val="00D4720E"/>
    <w:rsid w:val="00D54CBA"/>
    <w:rsid w:val="00D61BD2"/>
    <w:rsid w:val="00D61DAB"/>
    <w:rsid w:val="00D6701F"/>
    <w:rsid w:val="00D700E9"/>
    <w:rsid w:val="00D70C0A"/>
    <w:rsid w:val="00D70E57"/>
    <w:rsid w:val="00D72AC8"/>
    <w:rsid w:val="00D7524C"/>
    <w:rsid w:val="00D76F95"/>
    <w:rsid w:val="00D771EC"/>
    <w:rsid w:val="00D77551"/>
    <w:rsid w:val="00D80D27"/>
    <w:rsid w:val="00D8240F"/>
    <w:rsid w:val="00D845E8"/>
    <w:rsid w:val="00D870B0"/>
    <w:rsid w:val="00D87B3C"/>
    <w:rsid w:val="00D87EC0"/>
    <w:rsid w:val="00D91AA6"/>
    <w:rsid w:val="00D97119"/>
    <w:rsid w:val="00D97CDE"/>
    <w:rsid w:val="00DA225B"/>
    <w:rsid w:val="00DA7DD8"/>
    <w:rsid w:val="00DB118B"/>
    <w:rsid w:val="00DB201F"/>
    <w:rsid w:val="00DB5E21"/>
    <w:rsid w:val="00DB5E3B"/>
    <w:rsid w:val="00DB6033"/>
    <w:rsid w:val="00DC7E3B"/>
    <w:rsid w:val="00DD2172"/>
    <w:rsid w:val="00DD4A5B"/>
    <w:rsid w:val="00DD67D4"/>
    <w:rsid w:val="00DD6EF5"/>
    <w:rsid w:val="00DE5AF6"/>
    <w:rsid w:val="00DE7267"/>
    <w:rsid w:val="00DF0FAE"/>
    <w:rsid w:val="00DF1835"/>
    <w:rsid w:val="00DF55D2"/>
    <w:rsid w:val="00E030A0"/>
    <w:rsid w:val="00E05C21"/>
    <w:rsid w:val="00E0728A"/>
    <w:rsid w:val="00E07812"/>
    <w:rsid w:val="00E130A4"/>
    <w:rsid w:val="00E14859"/>
    <w:rsid w:val="00E164B1"/>
    <w:rsid w:val="00E16B3D"/>
    <w:rsid w:val="00E17513"/>
    <w:rsid w:val="00E176AA"/>
    <w:rsid w:val="00E20385"/>
    <w:rsid w:val="00E243CD"/>
    <w:rsid w:val="00E2458D"/>
    <w:rsid w:val="00E25058"/>
    <w:rsid w:val="00E27CA3"/>
    <w:rsid w:val="00E314D7"/>
    <w:rsid w:val="00E33C6B"/>
    <w:rsid w:val="00E34192"/>
    <w:rsid w:val="00E35E03"/>
    <w:rsid w:val="00E36E77"/>
    <w:rsid w:val="00E37062"/>
    <w:rsid w:val="00E4046A"/>
    <w:rsid w:val="00E41148"/>
    <w:rsid w:val="00E41524"/>
    <w:rsid w:val="00E42471"/>
    <w:rsid w:val="00E425C8"/>
    <w:rsid w:val="00E46EF8"/>
    <w:rsid w:val="00E51E52"/>
    <w:rsid w:val="00E52F6B"/>
    <w:rsid w:val="00E57D8C"/>
    <w:rsid w:val="00E62907"/>
    <w:rsid w:val="00E64374"/>
    <w:rsid w:val="00E66AB7"/>
    <w:rsid w:val="00E701DC"/>
    <w:rsid w:val="00E710E9"/>
    <w:rsid w:val="00E71856"/>
    <w:rsid w:val="00E727FE"/>
    <w:rsid w:val="00E740E0"/>
    <w:rsid w:val="00E742E3"/>
    <w:rsid w:val="00E756ED"/>
    <w:rsid w:val="00E75DB3"/>
    <w:rsid w:val="00E7633B"/>
    <w:rsid w:val="00E763FD"/>
    <w:rsid w:val="00E9041A"/>
    <w:rsid w:val="00E91D0C"/>
    <w:rsid w:val="00E92E17"/>
    <w:rsid w:val="00E933DA"/>
    <w:rsid w:val="00E938A8"/>
    <w:rsid w:val="00E95E1D"/>
    <w:rsid w:val="00EA0EC2"/>
    <w:rsid w:val="00EA2BA2"/>
    <w:rsid w:val="00EA4BB1"/>
    <w:rsid w:val="00EA63B3"/>
    <w:rsid w:val="00EB2718"/>
    <w:rsid w:val="00EB3463"/>
    <w:rsid w:val="00EB39FF"/>
    <w:rsid w:val="00EB5721"/>
    <w:rsid w:val="00EB5991"/>
    <w:rsid w:val="00EB6278"/>
    <w:rsid w:val="00EC0C97"/>
    <w:rsid w:val="00EC1220"/>
    <w:rsid w:val="00EC1BED"/>
    <w:rsid w:val="00EC2467"/>
    <w:rsid w:val="00EC37EB"/>
    <w:rsid w:val="00EC51EF"/>
    <w:rsid w:val="00EC737F"/>
    <w:rsid w:val="00ED01B4"/>
    <w:rsid w:val="00ED188F"/>
    <w:rsid w:val="00ED3A14"/>
    <w:rsid w:val="00ED3F32"/>
    <w:rsid w:val="00ED4562"/>
    <w:rsid w:val="00ED5294"/>
    <w:rsid w:val="00ED546B"/>
    <w:rsid w:val="00ED608D"/>
    <w:rsid w:val="00ED628B"/>
    <w:rsid w:val="00ED7E54"/>
    <w:rsid w:val="00EE106C"/>
    <w:rsid w:val="00EE2482"/>
    <w:rsid w:val="00EE32BD"/>
    <w:rsid w:val="00EE45D1"/>
    <w:rsid w:val="00EF004E"/>
    <w:rsid w:val="00EF0372"/>
    <w:rsid w:val="00EF1CBE"/>
    <w:rsid w:val="00EF3CDD"/>
    <w:rsid w:val="00EF45CE"/>
    <w:rsid w:val="00EF52E6"/>
    <w:rsid w:val="00EF7497"/>
    <w:rsid w:val="00F00F8B"/>
    <w:rsid w:val="00F01049"/>
    <w:rsid w:val="00F0241B"/>
    <w:rsid w:val="00F0310F"/>
    <w:rsid w:val="00F036E6"/>
    <w:rsid w:val="00F12464"/>
    <w:rsid w:val="00F14957"/>
    <w:rsid w:val="00F15D6B"/>
    <w:rsid w:val="00F2684D"/>
    <w:rsid w:val="00F26C14"/>
    <w:rsid w:val="00F30AAD"/>
    <w:rsid w:val="00F32E6D"/>
    <w:rsid w:val="00F40A19"/>
    <w:rsid w:val="00F41266"/>
    <w:rsid w:val="00F41A32"/>
    <w:rsid w:val="00F42868"/>
    <w:rsid w:val="00F4379F"/>
    <w:rsid w:val="00F43EF7"/>
    <w:rsid w:val="00F44F96"/>
    <w:rsid w:val="00F46A91"/>
    <w:rsid w:val="00F476C8"/>
    <w:rsid w:val="00F507CC"/>
    <w:rsid w:val="00F5176C"/>
    <w:rsid w:val="00F51E56"/>
    <w:rsid w:val="00F54722"/>
    <w:rsid w:val="00F56C9F"/>
    <w:rsid w:val="00F56E6A"/>
    <w:rsid w:val="00F60841"/>
    <w:rsid w:val="00F63553"/>
    <w:rsid w:val="00F655F3"/>
    <w:rsid w:val="00F65D8D"/>
    <w:rsid w:val="00F6723F"/>
    <w:rsid w:val="00F6731F"/>
    <w:rsid w:val="00F67B1A"/>
    <w:rsid w:val="00F72E30"/>
    <w:rsid w:val="00F73122"/>
    <w:rsid w:val="00F744A3"/>
    <w:rsid w:val="00F74508"/>
    <w:rsid w:val="00F75679"/>
    <w:rsid w:val="00F76605"/>
    <w:rsid w:val="00F8203D"/>
    <w:rsid w:val="00F822FA"/>
    <w:rsid w:val="00F849CB"/>
    <w:rsid w:val="00F9005F"/>
    <w:rsid w:val="00F905CA"/>
    <w:rsid w:val="00F90D04"/>
    <w:rsid w:val="00F92C22"/>
    <w:rsid w:val="00F93466"/>
    <w:rsid w:val="00F968D0"/>
    <w:rsid w:val="00FA0372"/>
    <w:rsid w:val="00FA097E"/>
    <w:rsid w:val="00FA21E1"/>
    <w:rsid w:val="00FA3DB1"/>
    <w:rsid w:val="00FA539F"/>
    <w:rsid w:val="00FA5B7C"/>
    <w:rsid w:val="00FA5EFA"/>
    <w:rsid w:val="00FA6B4A"/>
    <w:rsid w:val="00FA79A9"/>
    <w:rsid w:val="00FB32E7"/>
    <w:rsid w:val="00FB5ADA"/>
    <w:rsid w:val="00FC0A61"/>
    <w:rsid w:val="00FC3BE8"/>
    <w:rsid w:val="00FC5E7F"/>
    <w:rsid w:val="00FD4E81"/>
    <w:rsid w:val="00FD7D46"/>
    <w:rsid w:val="00FE3BFA"/>
    <w:rsid w:val="00FF4433"/>
    <w:rsid w:val="00FF4CF3"/>
    <w:rsid w:val="00FF537D"/>
    <w:rsid w:val="00FF55C1"/>
    <w:rsid w:val="01030227"/>
    <w:rsid w:val="01274F14"/>
    <w:rsid w:val="01303A9E"/>
    <w:rsid w:val="01383FD0"/>
    <w:rsid w:val="01451617"/>
    <w:rsid w:val="0190158D"/>
    <w:rsid w:val="01B77047"/>
    <w:rsid w:val="0203063D"/>
    <w:rsid w:val="02043122"/>
    <w:rsid w:val="02055635"/>
    <w:rsid w:val="021058AA"/>
    <w:rsid w:val="02346456"/>
    <w:rsid w:val="024E269D"/>
    <w:rsid w:val="027D5CF6"/>
    <w:rsid w:val="029F57DD"/>
    <w:rsid w:val="02CB3070"/>
    <w:rsid w:val="02D738A3"/>
    <w:rsid w:val="02E05773"/>
    <w:rsid w:val="03411FE4"/>
    <w:rsid w:val="034169E5"/>
    <w:rsid w:val="034464B8"/>
    <w:rsid w:val="036576B8"/>
    <w:rsid w:val="03675AE6"/>
    <w:rsid w:val="037D4D59"/>
    <w:rsid w:val="03900CC8"/>
    <w:rsid w:val="03C71EFB"/>
    <w:rsid w:val="03D735B0"/>
    <w:rsid w:val="03F1578E"/>
    <w:rsid w:val="03FA6CDF"/>
    <w:rsid w:val="04043713"/>
    <w:rsid w:val="04365FFA"/>
    <w:rsid w:val="04494A43"/>
    <w:rsid w:val="046D244C"/>
    <w:rsid w:val="046F1BE2"/>
    <w:rsid w:val="04822D08"/>
    <w:rsid w:val="04A2573B"/>
    <w:rsid w:val="04C851F1"/>
    <w:rsid w:val="04EC5E7E"/>
    <w:rsid w:val="04FB048C"/>
    <w:rsid w:val="050D75C2"/>
    <w:rsid w:val="052C29BF"/>
    <w:rsid w:val="05337A63"/>
    <w:rsid w:val="055C5785"/>
    <w:rsid w:val="0569596B"/>
    <w:rsid w:val="05852631"/>
    <w:rsid w:val="05873555"/>
    <w:rsid w:val="05C74170"/>
    <w:rsid w:val="05D93388"/>
    <w:rsid w:val="05F06637"/>
    <w:rsid w:val="061E4834"/>
    <w:rsid w:val="063C6E0C"/>
    <w:rsid w:val="06517EE9"/>
    <w:rsid w:val="06847AB1"/>
    <w:rsid w:val="06A50AB1"/>
    <w:rsid w:val="06C55EEB"/>
    <w:rsid w:val="07004918"/>
    <w:rsid w:val="070B6221"/>
    <w:rsid w:val="07272F0C"/>
    <w:rsid w:val="07283BBC"/>
    <w:rsid w:val="07481042"/>
    <w:rsid w:val="074A1D85"/>
    <w:rsid w:val="07654B87"/>
    <w:rsid w:val="078F7797"/>
    <w:rsid w:val="07BA720E"/>
    <w:rsid w:val="07CB7156"/>
    <w:rsid w:val="07E13B30"/>
    <w:rsid w:val="07EE2CA7"/>
    <w:rsid w:val="081F2D4C"/>
    <w:rsid w:val="084E2ACF"/>
    <w:rsid w:val="084F19C0"/>
    <w:rsid w:val="0851167E"/>
    <w:rsid w:val="08635040"/>
    <w:rsid w:val="08B2562B"/>
    <w:rsid w:val="08B5584D"/>
    <w:rsid w:val="08CB1648"/>
    <w:rsid w:val="09190838"/>
    <w:rsid w:val="092C5B65"/>
    <w:rsid w:val="095C7B83"/>
    <w:rsid w:val="09697C41"/>
    <w:rsid w:val="098F731B"/>
    <w:rsid w:val="0992531D"/>
    <w:rsid w:val="0996625D"/>
    <w:rsid w:val="09DE2A70"/>
    <w:rsid w:val="0A065192"/>
    <w:rsid w:val="0A1F4EA7"/>
    <w:rsid w:val="0A344626"/>
    <w:rsid w:val="0A457D8A"/>
    <w:rsid w:val="0AB57935"/>
    <w:rsid w:val="0ABF0DA2"/>
    <w:rsid w:val="0ACE0B6C"/>
    <w:rsid w:val="0AD96424"/>
    <w:rsid w:val="0AEE6792"/>
    <w:rsid w:val="0B1D330C"/>
    <w:rsid w:val="0B4E1717"/>
    <w:rsid w:val="0B81389B"/>
    <w:rsid w:val="0BAD5A32"/>
    <w:rsid w:val="0BE64801"/>
    <w:rsid w:val="0C140339"/>
    <w:rsid w:val="0C2D200C"/>
    <w:rsid w:val="0C363C5D"/>
    <w:rsid w:val="0C367AE1"/>
    <w:rsid w:val="0C3E178C"/>
    <w:rsid w:val="0C3F15EE"/>
    <w:rsid w:val="0C7965AF"/>
    <w:rsid w:val="0C8E3524"/>
    <w:rsid w:val="0C95751F"/>
    <w:rsid w:val="0CB41A4E"/>
    <w:rsid w:val="0CE4693D"/>
    <w:rsid w:val="0D387F14"/>
    <w:rsid w:val="0D4B23B2"/>
    <w:rsid w:val="0D63355E"/>
    <w:rsid w:val="0D6402AD"/>
    <w:rsid w:val="0D6E00F5"/>
    <w:rsid w:val="0D722AE9"/>
    <w:rsid w:val="0DC53EBC"/>
    <w:rsid w:val="0DE27351"/>
    <w:rsid w:val="0E133FA6"/>
    <w:rsid w:val="0E1411B9"/>
    <w:rsid w:val="0E195228"/>
    <w:rsid w:val="0E2217A8"/>
    <w:rsid w:val="0E3C5DA6"/>
    <w:rsid w:val="0E796AAB"/>
    <w:rsid w:val="0E925E78"/>
    <w:rsid w:val="0EA20C5D"/>
    <w:rsid w:val="0EA54211"/>
    <w:rsid w:val="0EB36468"/>
    <w:rsid w:val="0EDB759D"/>
    <w:rsid w:val="0F361774"/>
    <w:rsid w:val="0F3B7D92"/>
    <w:rsid w:val="0F66630C"/>
    <w:rsid w:val="0FCB5DCA"/>
    <w:rsid w:val="0FD17D65"/>
    <w:rsid w:val="0FF10449"/>
    <w:rsid w:val="0FF705D0"/>
    <w:rsid w:val="1016272A"/>
    <w:rsid w:val="101747CE"/>
    <w:rsid w:val="10485433"/>
    <w:rsid w:val="104C2911"/>
    <w:rsid w:val="105964EA"/>
    <w:rsid w:val="107B6F12"/>
    <w:rsid w:val="11447845"/>
    <w:rsid w:val="11604A5C"/>
    <w:rsid w:val="1176169D"/>
    <w:rsid w:val="117C68E7"/>
    <w:rsid w:val="118263A1"/>
    <w:rsid w:val="119603EC"/>
    <w:rsid w:val="11A331FA"/>
    <w:rsid w:val="11E273B9"/>
    <w:rsid w:val="120038A1"/>
    <w:rsid w:val="124D4083"/>
    <w:rsid w:val="12540B79"/>
    <w:rsid w:val="12701BF6"/>
    <w:rsid w:val="128C79CD"/>
    <w:rsid w:val="12DE47E6"/>
    <w:rsid w:val="12EA441C"/>
    <w:rsid w:val="12F639E2"/>
    <w:rsid w:val="133D1517"/>
    <w:rsid w:val="136532E8"/>
    <w:rsid w:val="13AB65D9"/>
    <w:rsid w:val="13CC1FE7"/>
    <w:rsid w:val="14105030"/>
    <w:rsid w:val="14157276"/>
    <w:rsid w:val="143B7963"/>
    <w:rsid w:val="14691D59"/>
    <w:rsid w:val="14D251DA"/>
    <w:rsid w:val="15205ED3"/>
    <w:rsid w:val="1558661B"/>
    <w:rsid w:val="155913AC"/>
    <w:rsid w:val="1579432B"/>
    <w:rsid w:val="15E47D74"/>
    <w:rsid w:val="1614567C"/>
    <w:rsid w:val="16271ECD"/>
    <w:rsid w:val="164916E6"/>
    <w:rsid w:val="165A18B8"/>
    <w:rsid w:val="16782B7B"/>
    <w:rsid w:val="167F4CEB"/>
    <w:rsid w:val="168129A1"/>
    <w:rsid w:val="16A76302"/>
    <w:rsid w:val="16C521B5"/>
    <w:rsid w:val="16EC657B"/>
    <w:rsid w:val="16F3593D"/>
    <w:rsid w:val="16F71446"/>
    <w:rsid w:val="1735378C"/>
    <w:rsid w:val="173A3666"/>
    <w:rsid w:val="17405D8B"/>
    <w:rsid w:val="17407759"/>
    <w:rsid w:val="17482177"/>
    <w:rsid w:val="179B3E0E"/>
    <w:rsid w:val="17DF684D"/>
    <w:rsid w:val="17F31E94"/>
    <w:rsid w:val="18025D64"/>
    <w:rsid w:val="1810194F"/>
    <w:rsid w:val="181736F0"/>
    <w:rsid w:val="18301873"/>
    <w:rsid w:val="185D59F5"/>
    <w:rsid w:val="18652B97"/>
    <w:rsid w:val="18D24826"/>
    <w:rsid w:val="18D455B5"/>
    <w:rsid w:val="1930763A"/>
    <w:rsid w:val="193564B7"/>
    <w:rsid w:val="19551FEB"/>
    <w:rsid w:val="19656A4B"/>
    <w:rsid w:val="198F35F7"/>
    <w:rsid w:val="199667D2"/>
    <w:rsid w:val="19A54BF8"/>
    <w:rsid w:val="19C63AD7"/>
    <w:rsid w:val="19D205DB"/>
    <w:rsid w:val="19E94399"/>
    <w:rsid w:val="19EC5D5F"/>
    <w:rsid w:val="19EF6331"/>
    <w:rsid w:val="19FA4386"/>
    <w:rsid w:val="1A2E2E40"/>
    <w:rsid w:val="1A5572CF"/>
    <w:rsid w:val="1AA40BC5"/>
    <w:rsid w:val="1AA52927"/>
    <w:rsid w:val="1ACE2A5F"/>
    <w:rsid w:val="1AF03B8E"/>
    <w:rsid w:val="1AFC093E"/>
    <w:rsid w:val="1B012209"/>
    <w:rsid w:val="1B027E29"/>
    <w:rsid w:val="1B044877"/>
    <w:rsid w:val="1B223C7E"/>
    <w:rsid w:val="1B751D18"/>
    <w:rsid w:val="1B837689"/>
    <w:rsid w:val="1BA35581"/>
    <w:rsid w:val="1BB2184F"/>
    <w:rsid w:val="1BBC1B6B"/>
    <w:rsid w:val="1BCF46CC"/>
    <w:rsid w:val="1BE54206"/>
    <w:rsid w:val="1C1224F7"/>
    <w:rsid w:val="1C1918CE"/>
    <w:rsid w:val="1C215860"/>
    <w:rsid w:val="1C3B088A"/>
    <w:rsid w:val="1C5F3784"/>
    <w:rsid w:val="1C782A98"/>
    <w:rsid w:val="1C9634AE"/>
    <w:rsid w:val="1CD120FF"/>
    <w:rsid w:val="1CDF6B41"/>
    <w:rsid w:val="1D2F3F5E"/>
    <w:rsid w:val="1D51324F"/>
    <w:rsid w:val="1D515210"/>
    <w:rsid w:val="1D52110B"/>
    <w:rsid w:val="1D6920D8"/>
    <w:rsid w:val="1D7E6130"/>
    <w:rsid w:val="1D8A0CA1"/>
    <w:rsid w:val="1DA90758"/>
    <w:rsid w:val="1DF127C5"/>
    <w:rsid w:val="1E222509"/>
    <w:rsid w:val="1E3649B9"/>
    <w:rsid w:val="1E3E76F4"/>
    <w:rsid w:val="1E4B4678"/>
    <w:rsid w:val="1E504E6B"/>
    <w:rsid w:val="1E605592"/>
    <w:rsid w:val="1E6C0D07"/>
    <w:rsid w:val="1E941C0E"/>
    <w:rsid w:val="1EA43D4B"/>
    <w:rsid w:val="1EAB5F5C"/>
    <w:rsid w:val="1ECB6CF3"/>
    <w:rsid w:val="1ED63936"/>
    <w:rsid w:val="1EE82E44"/>
    <w:rsid w:val="1EEE7042"/>
    <w:rsid w:val="1F095BCD"/>
    <w:rsid w:val="1F324176"/>
    <w:rsid w:val="1F3839D1"/>
    <w:rsid w:val="1F8D1B58"/>
    <w:rsid w:val="1FB35C2A"/>
    <w:rsid w:val="1FB7392F"/>
    <w:rsid w:val="1FC473C9"/>
    <w:rsid w:val="1FF22990"/>
    <w:rsid w:val="200A7C06"/>
    <w:rsid w:val="20443B05"/>
    <w:rsid w:val="20450EE3"/>
    <w:rsid w:val="204F37C9"/>
    <w:rsid w:val="20540405"/>
    <w:rsid w:val="20AB7349"/>
    <w:rsid w:val="20B11C5C"/>
    <w:rsid w:val="20B63D32"/>
    <w:rsid w:val="20BE2EDB"/>
    <w:rsid w:val="20DC1B4D"/>
    <w:rsid w:val="20E75FEA"/>
    <w:rsid w:val="2102370C"/>
    <w:rsid w:val="210B2172"/>
    <w:rsid w:val="21272E02"/>
    <w:rsid w:val="21386BBD"/>
    <w:rsid w:val="219A49A8"/>
    <w:rsid w:val="219E0135"/>
    <w:rsid w:val="21BE7C5E"/>
    <w:rsid w:val="21CA74E9"/>
    <w:rsid w:val="21DE261D"/>
    <w:rsid w:val="21EC2BAB"/>
    <w:rsid w:val="21F22C88"/>
    <w:rsid w:val="220E112D"/>
    <w:rsid w:val="222A0391"/>
    <w:rsid w:val="2279256C"/>
    <w:rsid w:val="22A60EB5"/>
    <w:rsid w:val="22C87961"/>
    <w:rsid w:val="22D23494"/>
    <w:rsid w:val="22D81D21"/>
    <w:rsid w:val="230909BA"/>
    <w:rsid w:val="230A495B"/>
    <w:rsid w:val="230E380E"/>
    <w:rsid w:val="230F0A4B"/>
    <w:rsid w:val="23131590"/>
    <w:rsid w:val="23165F69"/>
    <w:rsid w:val="238263F4"/>
    <w:rsid w:val="23952BC2"/>
    <w:rsid w:val="23AF4937"/>
    <w:rsid w:val="24011960"/>
    <w:rsid w:val="24054A11"/>
    <w:rsid w:val="240A17C0"/>
    <w:rsid w:val="241137D9"/>
    <w:rsid w:val="24505EAF"/>
    <w:rsid w:val="245A05CA"/>
    <w:rsid w:val="247C4590"/>
    <w:rsid w:val="24A3234B"/>
    <w:rsid w:val="24A71696"/>
    <w:rsid w:val="24AA4A53"/>
    <w:rsid w:val="24B66F7B"/>
    <w:rsid w:val="24B95CB1"/>
    <w:rsid w:val="24D26FAB"/>
    <w:rsid w:val="24F9229C"/>
    <w:rsid w:val="25101C98"/>
    <w:rsid w:val="251936F7"/>
    <w:rsid w:val="25237FF4"/>
    <w:rsid w:val="2549427F"/>
    <w:rsid w:val="254B6F9C"/>
    <w:rsid w:val="25722260"/>
    <w:rsid w:val="25974A42"/>
    <w:rsid w:val="25DB32FA"/>
    <w:rsid w:val="25E037D0"/>
    <w:rsid w:val="268C368D"/>
    <w:rsid w:val="269764FC"/>
    <w:rsid w:val="26B92AA7"/>
    <w:rsid w:val="27251824"/>
    <w:rsid w:val="273F2C97"/>
    <w:rsid w:val="27826579"/>
    <w:rsid w:val="279F2C36"/>
    <w:rsid w:val="27DB4A1A"/>
    <w:rsid w:val="27E15BF4"/>
    <w:rsid w:val="280F4D71"/>
    <w:rsid w:val="28453812"/>
    <w:rsid w:val="287F06AC"/>
    <w:rsid w:val="28AA563C"/>
    <w:rsid w:val="28D36777"/>
    <w:rsid w:val="28EC1885"/>
    <w:rsid w:val="291476A5"/>
    <w:rsid w:val="29212C84"/>
    <w:rsid w:val="2933177B"/>
    <w:rsid w:val="2974095E"/>
    <w:rsid w:val="29843D5E"/>
    <w:rsid w:val="298577EE"/>
    <w:rsid w:val="29927401"/>
    <w:rsid w:val="299B6946"/>
    <w:rsid w:val="29AE4D29"/>
    <w:rsid w:val="29C04EC5"/>
    <w:rsid w:val="29DE1E4D"/>
    <w:rsid w:val="29E654E5"/>
    <w:rsid w:val="2A0A7696"/>
    <w:rsid w:val="2A0D0F0C"/>
    <w:rsid w:val="2A176C00"/>
    <w:rsid w:val="2A3C5957"/>
    <w:rsid w:val="2A64465C"/>
    <w:rsid w:val="2A6B1D80"/>
    <w:rsid w:val="2A6C34AF"/>
    <w:rsid w:val="2ABC1DA2"/>
    <w:rsid w:val="2ADB6EB7"/>
    <w:rsid w:val="2AFB54C5"/>
    <w:rsid w:val="2B016E45"/>
    <w:rsid w:val="2B055F8A"/>
    <w:rsid w:val="2B0C03A4"/>
    <w:rsid w:val="2B200651"/>
    <w:rsid w:val="2B3841A3"/>
    <w:rsid w:val="2B6F658C"/>
    <w:rsid w:val="2BA928BA"/>
    <w:rsid w:val="2BC5784B"/>
    <w:rsid w:val="2BE322F5"/>
    <w:rsid w:val="2C0573AA"/>
    <w:rsid w:val="2D511017"/>
    <w:rsid w:val="2DA67B66"/>
    <w:rsid w:val="2DE51B11"/>
    <w:rsid w:val="2DFD7CDE"/>
    <w:rsid w:val="2E8818C4"/>
    <w:rsid w:val="2E8E7EF9"/>
    <w:rsid w:val="2E922D73"/>
    <w:rsid w:val="2EBA1864"/>
    <w:rsid w:val="2ED95618"/>
    <w:rsid w:val="2EF22E53"/>
    <w:rsid w:val="2F0A6734"/>
    <w:rsid w:val="2F1055A9"/>
    <w:rsid w:val="2F3D79D9"/>
    <w:rsid w:val="2F4219B8"/>
    <w:rsid w:val="2F574FCA"/>
    <w:rsid w:val="2FC36919"/>
    <w:rsid w:val="2FC935F5"/>
    <w:rsid w:val="2FD25CD1"/>
    <w:rsid w:val="2FFE2E5D"/>
    <w:rsid w:val="2FFF3C21"/>
    <w:rsid w:val="3019494D"/>
    <w:rsid w:val="302F5F5A"/>
    <w:rsid w:val="304C426E"/>
    <w:rsid w:val="305C6B22"/>
    <w:rsid w:val="30A33C04"/>
    <w:rsid w:val="30E74DA6"/>
    <w:rsid w:val="30EC34E0"/>
    <w:rsid w:val="31106DFE"/>
    <w:rsid w:val="31172A76"/>
    <w:rsid w:val="314B6160"/>
    <w:rsid w:val="316867E0"/>
    <w:rsid w:val="316A1107"/>
    <w:rsid w:val="31841167"/>
    <w:rsid w:val="31962F66"/>
    <w:rsid w:val="32303E53"/>
    <w:rsid w:val="32484C4E"/>
    <w:rsid w:val="32605D06"/>
    <w:rsid w:val="32E90B44"/>
    <w:rsid w:val="33305A23"/>
    <w:rsid w:val="3348538E"/>
    <w:rsid w:val="33A43C30"/>
    <w:rsid w:val="33AD2BD0"/>
    <w:rsid w:val="33CE2C57"/>
    <w:rsid w:val="33DE6B77"/>
    <w:rsid w:val="33EC512B"/>
    <w:rsid w:val="341C101E"/>
    <w:rsid w:val="346F43F1"/>
    <w:rsid w:val="347D281C"/>
    <w:rsid w:val="34821C25"/>
    <w:rsid w:val="34B92C20"/>
    <w:rsid w:val="34DB376C"/>
    <w:rsid w:val="35156C7E"/>
    <w:rsid w:val="35325A82"/>
    <w:rsid w:val="35352108"/>
    <w:rsid w:val="35441A8C"/>
    <w:rsid w:val="354458FB"/>
    <w:rsid w:val="355A3D41"/>
    <w:rsid w:val="3566572C"/>
    <w:rsid w:val="35691819"/>
    <w:rsid w:val="358D6AEA"/>
    <w:rsid w:val="3591124E"/>
    <w:rsid w:val="35E9176E"/>
    <w:rsid w:val="35F508F8"/>
    <w:rsid w:val="363E5683"/>
    <w:rsid w:val="364D7488"/>
    <w:rsid w:val="36741E16"/>
    <w:rsid w:val="36811582"/>
    <w:rsid w:val="36D654B6"/>
    <w:rsid w:val="36DD32BF"/>
    <w:rsid w:val="36E45B38"/>
    <w:rsid w:val="36EE51ED"/>
    <w:rsid w:val="370C7272"/>
    <w:rsid w:val="371E4419"/>
    <w:rsid w:val="372F21F8"/>
    <w:rsid w:val="37450A23"/>
    <w:rsid w:val="37482467"/>
    <w:rsid w:val="375A10AE"/>
    <w:rsid w:val="375F18CE"/>
    <w:rsid w:val="376D3A14"/>
    <w:rsid w:val="377543D4"/>
    <w:rsid w:val="37912BED"/>
    <w:rsid w:val="379E050A"/>
    <w:rsid w:val="37A227C0"/>
    <w:rsid w:val="37FE1083"/>
    <w:rsid w:val="38112289"/>
    <w:rsid w:val="381218DA"/>
    <w:rsid w:val="381439C0"/>
    <w:rsid w:val="382C54C9"/>
    <w:rsid w:val="385C2035"/>
    <w:rsid w:val="389567FE"/>
    <w:rsid w:val="389B0595"/>
    <w:rsid w:val="38A47140"/>
    <w:rsid w:val="38B86A17"/>
    <w:rsid w:val="38F80946"/>
    <w:rsid w:val="39197560"/>
    <w:rsid w:val="3938261A"/>
    <w:rsid w:val="3958538C"/>
    <w:rsid w:val="39875A90"/>
    <w:rsid w:val="39A53523"/>
    <w:rsid w:val="39A75360"/>
    <w:rsid w:val="39C661B5"/>
    <w:rsid w:val="39DF57E5"/>
    <w:rsid w:val="39EC3D26"/>
    <w:rsid w:val="3A6570A1"/>
    <w:rsid w:val="3A883352"/>
    <w:rsid w:val="3A98285C"/>
    <w:rsid w:val="3AB16AFD"/>
    <w:rsid w:val="3ABD3CF2"/>
    <w:rsid w:val="3AD23706"/>
    <w:rsid w:val="3AD260C1"/>
    <w:rsid w:val="3AD44EE6"/>
    <w:rsid w:val="3AD54D74"/>
    <w:rsid w:val="3ADF1772"/>
    <w:rsid w:val="3AE83617"/>
    <w:rsid w:val="3AFB6916"/>
    <w:rsid w:val="3B2740D4"/>
    <w:rsid w:val="3B3F66C7"/>
    <w:rsid w:val="3B5A2B4C"/>
    <w:rsid w:val="3B662EAC"/>
    <w:rsid w:val="3B6A4D8E"/>
    <w:rsid w:val="3B920829"/>
    <w:rsid w:val="3B9C3C56"/>
    <w:rsid w:val="3BD85BBF"/>
    <w:rsid w:val="3C20015F"/>
    <w:rsid w:val="3C6109FB"/>
    <w:rsid w:val="3CEA279F"/>
    <w:rsid w:val="3D056DE5"/>
    <w:rsid w:val="3D150381"/>
    <w:rsid w:val="3D242DC0"/>
    <w:rsid w:val="3D3357D0"/>
    <w:rsid w:val="3D444D9B"/>
    <w:rsid w:val="3D603B0C"/>
    <w:rsid w:val="3D723206"/>
    <w:rsid w:val="3D864BBD"/>
    <w:rsid w:val="3D9A53D2"/>
    <w:rsid w:val="3DA82763"/>
    <w:rsid w:val="3E04284A"/>
    <w:rsid w:val="3E2E0DB1"/>
    <w:rsid w:val="3E502AD5"/>
    <w:rsid w:val="3E992789"/>
    <w:rsid w:val="3E9F580B"/>
    <w:rsid w:val="3EB24A80"/>
    <w:rsid w:val="3EF344A0"/>
    <w:rsid w:val="3F0C5499"/>
    <w:rsid w:val="3F266B61"/>
    <w:rsid w:val="3F271710"/>
    <w:rsid w:val="3F281CA4"/>
    <w:rsid w:val="3F564F2E"/>
    <w:rsid w:val="3F5A618E"/>
    <w:rsid w:val="3FC304B3"/>
    <w:rsid w:val="3FC87665"/>
    <w:rsid w:val="3FDA5041"/>
    <w:rsid w:val="3FEA2A88"/>
    <w:rsid w:val="403C0BE5"/>
    <w:rsid w:val="406538E2"/>
    <w:rsid w:val="40E6513A"/>
    <w:rsid w:val="41072A6C"/>
    <w:rsid w:val="41277CAD"/>
    <w:rsid w:val="4142704D"/>
    <w:rsid w:val="417254CB"/>
    <w:rsid w:val="41744D2D"/>
    <w:rsid w:val="418A329E"/>
    <w:rsid w:val="4198333A"/>
    <w:rsid w:val="419C4335"/>
    <w:rsid w:val="41DE7B28"/>
    <w:rsid w:val="421C406A"/>
    <w:rsid w:val="421C69ED"/>
    <w:rsid w:val="423821FE"/>
    <w:rsid w:val="423D3A47"/>
    <w:rsid w:val="423F7E57"/>
    <w:rsid w:val="428B61F9"/>
    <w:rsid w:val="42E11227"/>
    <w:rsid w:val="433112AC"/>
    <w:rsid w:val="43457008"/>
    <w:rsid w:val="434E0C0A"/>
    <w:rsid w:val="436808C1"/>
    <w:rsid w:val="438D6152"/>
    <w:rsid w:val="43C54EEF"/>
    <w:rsid w:val="44120AF0"/>
    <w:rsid w:val="443B1E1A"/>
    <w:rsid w:val="445F75AA"/>
    <w:rsid w:val="449C4CC6"/>
    <w:rsid w:val="44A17A7E"/>
    <w:rsid w:val="44EE06E7"/>
    <w:rsid w:val="45107462"/>
    <w:rsid w:val="453C2484"/>
    <w:rsid w:val="453D6989"/>
    <w:rsid w:val="45701CAF"/>
    <w:rsid w:val="457339F4"/>
    <w:rsid w:val="457C0AD2"/>
    <w:rsid w:val="45BA70B1"/>
    <w:rsid w:val="45EA2CE8"/>
    <w:rsid w:val="45F74EDF"/>
    <w:rsid w:val="4600059B"/>
    <w:rsid w:val="462D006C"/>
    <w:rsid w:val="46367F86"/>
    <w:rsid w:val="463F26DB"/>
    <w:rsid w:val="466C2476"/>
    <w:rsid w:val="46AB5174"/>
    <w:rsid w:val="46B700F8"/>
    <w:rsid w:val="46BB44BC"/>
    <w:rsid w:val="47411B55"/>
    <w:rsid w:val="47510996"/>
    <w:rsid w:val="47570AD2"/>
    <w:rsid w:val="47580314"/>
    <w:rsid w:val="47666417"/>
    <w:rsid w:val="478D7161"/>
    <w:rsid w:val="47971775"/>
    <w:rsid w:val="4804144A"/>
    <w:rsid w:val="486A7361"/>
    <w:rsid w:val="489E7726"/>
    <w:rsid w:val="48A30128"/>
    <w:rsid w:val="48C05E0B"/>
    <w:rsid w:val="48C93CA5"/>
    <w:rsid w:val="48F77C20"/>
    <w:rsid w:val="490671E3"/>
    <w:rsid w:val="490E1280"/>
    <w:rsid w:val="4922407A"/>
    <w:rsid w:val="49466876"/>
    <w:rsid w:val="4947224E"/>
    <w:rsid w:val="497B7D9F"/>
    <w:rsid w:val="498E6CD6"/>
    <w:rsid w:val="49BD25AC"/>
    <w:rsid w:val="49C93F25"/>
    <w:rsid w:val="49D14B65"/>
    <w:rsid w:val="49D2423C"/>
    <w:rsid w:val="49EA0282"/>
    <w:rsid w:val="4A7B1B33"/>
    <w:rsid w:val="4A803067"/>
    <w:rsid w:val="4A9F4FAB"/>
    <w:rsid w:val="4AB74840"/>
    <w:rsid w:val="4AD728D0"/>
    <w:rsid w:val="4ADF597A"/>
    <w:rsid w:val="4AE30D8B"/>
    <w:rsid w:val="4AF13892"/>
    <w:rsid w:val="4B037C26"/>
    <w:rsid w:val="4B0D06CC"/>
    <w:rsid w:val="4B1632CA"/>
    <w:rsid w:val="4B2D7D43"/>
    <w:rsid w:val="4B91508D"/>
    <w:rsid w:val="4C450FB8"/>
    <w:rsid w:val="4C4F0F1A"/>
    <w:rsid w:val="4C747E14"/>
    <w:rsid w:val="4C912B97"/>
    <w:rsid w:val="4CA84AAD"/>
    <w:rsid w:val="4CAC0E3F"/>
    <w:rsid w:val="4D2B53D3"/>
    <w:rsid w:val="4D4C2D04"/>
    <w:rsid w:val="4D807BBE"/>
    <w:rsid w:val="4D865CEC"/>
    <w:rsid w:val="4DF0398D"/>
    <w:rsid w:val="4DF05B4A"/>
    <w:rsid w:val="4E01515D"/>
    <w:rsid w:val="4E327066"/>
    <w:rsid w:val="4E405991"/>
    <w:rsid w:val="4E644A95"/>
    <w:rsid w:val="4E656BC0"/>
    <w:rsid w:val="4E65774D"/>
    <w:rsid w:val="4EBE1CDD"/>
    <w:rsid w:val="4F0023CD"/>
    <w:rsid w:val="4F056DE1"/>
    <w:rsid w:val="4F19757E"/>
    <w:rsid w:val="4F223D03"/>
    <w:rsid w:val="4F8B1BBF"/>
    <w:rsid w:val="4FCB101C"/>
    <w:rsid w:val="500B2186"/>
    <w:rsid w:val="50602A1B"/>
    <w:rsid w:val="50612797"/>
    <w:rsid w:val="507548E9"/>
    <w:rsid w:val="507D77C1"/>
    <w:rsid w:val="50BB53A5"/>
    <w:rsid w:val="50BB750A"/>
    <w:rsid w:val="50FB1272"/>
    <w:rsid w:val="51174AAA"/>
    <w:rsid w:val="518E38C8"/>
    <w:rsid w:val="51C2552D"/>
    <w:rsid w:val="51C54E50"/>
    <w:rsid w:val="51D25021"/>
    <w:rsid w:val="51DE290C"/>
    <w:rsid w:val="520E4D2A"/>
    <w:rsid w:val="521356D1"/>
    <w:rsid w:val="52E63D53"/>
    <w:rsid w:val="52F21E12"/>
    <w:rsid w:val="53494392"/>
    <w:rsid w:val="535809C3"/>
    <w:rsid w:val="539A267B"/>
    <w:rsid w:val="53DC4685"/>
    <w:rsid w:val="53DE4B6D"/>
    <w:rsid w:val="54102FDB"/>
    <w:rsid w:val="543D2A9C"/>
    <w:rsid w:val="544C2251"/>
    <w:rsid w:val="545728F9"/>
    <w:rsid w:val="547B4505"/>
    <w:rsid w:val="548E6390"/>
    <w:rsid w:val="54C51393"/>
    <w:rsid w:val="54D9333A"/>
    <w:rsid w:val="54DE6B11"/>
    <w:rsid w:val="54ED6EEB"/>
    <w:rsid w:val="55115317"/>
    <w:rsid w:val="55966BD2"/>
    <w:rsid w:val="56156687"/>
    <w:rsid w:val="56B23CA6"/>
    <w:rsid w:val="56C65515"/>
    <w:rsid w:val="573072C4"/>
    <w:rsid w:val="57471187"/>
    <w:rsid w:val="574A2360"/>
    <w:rsid w:val="576F023D"/>
    <w:rsid w:val="577606F8"/>
    <w:rsid w:val="577B6EE4"/>
    <w:rsid w:val="57911D3D"/>
    <w:rsid w:val="57AC5A21"/>
    <w:rsid w:val="57AD0A5F"/>
    <w:rsid w:val="57D2146B"/>
    <w:rsid w:val="57EF1F3E"/>
    <w:rsid w:val="581C0CA5"/>
    <w:rsid w:val="583618D4"/>
    <w:rsid w:val="583D2A5E"/>
    <w:rsid w:val="58416862"/>
    <w:rsid w:val="584E2F27"/>
    <w:rsid w:val="5886355F"/>
    <w:rsid w:val="58891F15"/>
    <w:rsid w:val="58943172"/>
    <w:rsid w:val="58A3441E"/>
    <w:rsid w:val="58A35601"/>
    <w:rsid w:val="58AE4B70"/>
    <w:rsid w:val="58B4650D"/>
    <w:rsid w:val="58CC5336"/>
    <w:rsid w:val="591A2206"/>
    <w:rsid w:val="591C62AA"/>
    <w:rsid w:val="593C1AF7"/>
    <w:rsid w:val="596D67DA"/>
    <w:rsid w:val="59DD23FD"/>
    <w:rsid w:val="59E24A9F"/>
    <w:rsid w:val="5A243C7E"/>
    <w:rsid w:val="5A416278"/>
    <w:rsid w:val="5A737CDB"/>
    <w:rsid w:val="5A9658BC"/>
    <w:rsid w:val="5A99767B"/>
    <w:rsid w:val="5AAB0EDD"/>
    <w:rsid w:val="5B0333C0"/>
    <w:rsid w:val="5B761405"/>
    <w:rsid w:val="5B8B6761"/>
    <w:rsid w:val="5BCE7A03"/>
    <w:rsid w:val="5BF8521E"/>
    <w:rsid w:val="5C1B1303"/>
    <w:rsid w:val="5C241BA9"/>
    <w:rsid w:val="5C2453F7"/>
    <w:rsid w:val="5C4D09E5"/>
    <w:rsid w:val="5CA525EA"/>
    <w:rsid w:val="5CC21B4D"/>
    <w:rsid w:val="5D0852CE"/>
    <w:rsid w:val="5D2928D3"/>
    <w:rsid w:val="5D3C4210"/>
    <w:rsid w:val="5D471F0A"/>
    <w:rsid w:val="5D502207"/>
    <w:rsid w:val="5D7057B5"/>
    <w:rsid w:val="5DBD180F"/>
    <w:rsid w:val="5DE14E49"/>
    <w:rsid w:val="5E0369A2"/>
    <w:rsid w:val="5E1C522E"/>
    <w:rsid w:val="5E3B5015"/>
    <w:rsid w:val="5E4607C0"/>
    <w:rsid w:val="5ECD71E6"/>
    <w:rsid w:val="5ECF201B"/>
    <w:rsid w:val="5EDA7CAB"/>
    <w:rsid w:val="5EE251B4"/>
    <w:rsid w:val="5EE501EE"/>
    <w:rsid w:val="5EFD263A"/>
    <w:rsid w:val="5F0A3E4D"/>
    <w:rsid w:val="5F0D6D9B"/>
    <w:rsid w:val="5F290E1E"/>
    <w:rsid w:val="5F4315E3"/>
    <w:rsid w:val="5F5D5EBB"/>
    <w:rsid w:val="5FA44E02"/>
    <w:rsid w:val="5FFB11ED"/>
    <w:rsid w:val="60380678"/>
    <w:rsid w:val="605D60B2"/>
    <w:rsid w:val="60604FB9"/>
    <w:rsid w:val="609540A8"/>
    <w:rsid w:val="60B33EB4"/>
    <w:rsid w:val="60D07D7A"/>
    <w:rsid w:val="60EB0574"/>
    <w:rsid w:val="60F11A9E"/>
    <w:rsid w:val="611A335C"/>
    <w:rsid w:val="61216701"/>
    <w:rsid w:val="612B1527"/>
    <w:rsid w:val="61363955"/>
    <w:rsid w:val="613E24C6"/>
    <w:rsid w:val="615E09E1"/>
    <w:rsid w:val="616541DD"/>
    <w:rsid w:val="62166CF2"/>
    <w:rsid w:val="62692B62"/>
    <w:rsid w:val="626B5F89"/>
    <w:rsid w:val="627B32D8"/>
    <w:rsid w:val="62B3538E"/>
    <w:rsid w:val="62B90CFD"/>
    <w:rsid w:val="62D578C9"/>
    <w:rsid w:val="62DB448C"/>
    <w:rsid w:val="62FF6042"/>
    <w:rsid w:val="63226337"/>
    <w:rsid w:val="632D650D"/>
    <w:rsid w:val="633C5AC4"/>
    <w:rsid w:val="63863E37"/>
    <w:rsid w:val="63DC4A37"/>
    <w:rsid w:val="643709EB"/>
    <w:rsid w:val="643C5726"/>
    <w:rsid w:val="64561E9B"/>
    <w:rsid w:val="64B30CEB"/>
    <w:rsid w:val="64C753D2"/>
    <w:rsid w:val="64E82635"/>
    <w:rsid w:val="64F168C1"/>
    <w:rsid w:val="64F459D0"/>
    <w:rsid w:val="64FA4DF8"/>
    <w:rsid w:val="65555035"/>
    <w:rsid w:val="65807ED2"/>
    <w:rsid w:val="6582338C"/>
    <w:rsid w:val="65876E75"/>
    <w:rsid w:val="65A24220"/>
    <w:rsid w:val="65B22786"/>
    <w:rsid w:val="65E531E0"/>
    <w:rsid w:val="65F6754E"/>
    <w:rsid w:val="661735C0"/>
    <w:rsid w:val="66606552"/>
    <w:rsid w:val="66692167"/>
    <w:rsid w:val="66872C44"/>
    <w:rsid w:val="66A4324F"/>
    <w:rsid w:val="66C96539"/>
    <w:rsid w:val="66DD6DB6"/>
    <w:rsid w:val="66E237A0"/>
    <w:rsid w:val="66F7221C"/>
    <w:rsid w:val="674171C3"/>
    <w:rsid w:val="676058C5"/>
    <w:rsid w:val="67EE62F1"/>
    <w:rsid w:val="67FD5DEB"/>
    <w:rsid w:val="67FE0ABC"/>
    <w:rsid w:val="68272B8D"/>
    <w:rsid w:val="682B4CB5"/>
    <w:rsid w:val="68336B14"/>
    <w:rsid w:val="684A0973"/>
    <w:rsid w:val="6864524C"/>
    <w:rsid w:val="68725BBA"/>
    <w:rsid w:val="689A05D6"/>
    <w:rsid w:val="68A36922"/>
    <w:rsid w:val="68BB130F"/>
    <w:rsid w:val="68C1245B"/>
    <w:rsid w:val="68CF44E4"/>
    <w:rsid w:val="68D474B9"/>
    <w:rsid w:val="68E92901"/>
    <w:rsid w:val="68F57464"/>
    <w:rsid w:val="694D0207"/>
    <w:rsid w:val="69520021"/>
    <w:rsid w:val="696E2F19"/>
    <w:rsid w:val="69774602"/>
    <w:rsid w:val="699A4315"/>
    <w:rsid w:val="699A7243"/>
    <w:rsid w:val="69B50573"/>
    <w:rsid w:val="69D82638"/>
    <w:rsid w:val="69FF0CD2"/>
    <w:rsid w:val="6A2D2B79"/>
    <w:rsid w:val="6A2E5B11"/>
    <w:rsid w:val="6A331379"/>
    <w:rsid w:val="6A4533FD"/>
    <w:rsid w:val="6A496835"/>
    <w:rsid w:val="6A8E7740"/>
    <w:rsid w:val="6AD5648B"/>
    <w:rsid w:val="6AF36CDB"/>
    <w:rsid w:val="6B122298"/>
    <w:rsid w:val="6B2D401B"/>
    <w:rsid w:val="6B32622B"/>
    <w:rsid w:val="6B416662"/>
    <w:rsid w:val="6B44347E"/>
    <w:rsid w:val="6B7409C3"/>
    <w:rsid w:val="6B814BC3"/>
    <w:rsid w:val="6BA72747"/>
    <w:rsid w:val="6BEC4943"/>
    <w:rsid w:val="6C026F3C"/>
    <w:rsid w:val="6C19025F"/>
    <w:rsid w:val="6C2C4F32"/>
    <w:rsid w:val="6C396029"/>
    <w:rsid w:val="6C3B64A7"/>
    <w:rsid w:val="6C613F7C"/>
    <w:rsid w:val="6C790C0D"/>
    <w:rsid w:val="6CD419AC"/>
    <w:rsid w:val="6CD83A9C"/>
    <w:rsid w:val="6CDB5F08"/>
    <w:rsid w:val="6D1014FE"/>
    <w:rsid w:val="6D256766"/>
    <w:rsid w:val="6D4A4A10"/>
    <w:rsid w:val="6D7F405A"/>
    <w:rsid w:val="6D8A61D8"/>
    <w:rsid w:val="6DB9174A"/>
    <w:rsid w:val="6DBE53FE"/>
    <w:rsid w:val="6DED7802"/>
    <w:rsid w:val="6E1F0E23"/>
    <w:rsid w:val="6E8A1B32"/>
    <w:rsid w:val="6EEF4D85"/>
    <w:rsid w:val="6F262186"/>
    <w:rsid w:val="6F694B09"/>
    <w:rsid w:val="6F71097A"/>
    <w:rsid w:val="6F926B42"/>
    <w:rsid w:val="6FA6229E"/>
    <w:rsid w:val="6FB710F8"/>
    <w:rsid w:val="6FF158A6"/>
    <w:rsid w:val="6FF900E7"/>
    <w:rsid w:val="7021355F"/>
    <w:rsid w:val="70294286"/>
    <w:rsid w:val="702A251B"/>
    <w:rsid w:val="707149AA"/>
    <w:rsid w:val="708C7ADE"/>
    <w:rsid w:val="709C33D5"/>
    <w:rsid w:val="70C96F94"/>
    <w:rsid w:val="70D05D03"/>
    <w:rsid w:val="70E17439"/>
    <w:rsid w:val="711575EE"/>
    <w:rsid w:val="7116011E"/>
    <w:rsid w:val="715349F8"/>
    <w:rsid w:val="718D75C1"/>
    <w:rsid w:val="71945E92"/>
    <w:rsid w:val="71AE19CA"/>
    <w:rsid w:val="71AF48C4"/>
    <w:rsid w:val="71BF1449"/>
    <w:rsid w:val="721A1FF2"/>
    <w:rsid w:val="722C51DE"/>
    <w:rsid w:val="72356C20"/>
    <w:rsid w:val="723E4008"/>
    <w:rsid w:val="72923192"/>
    <w:rsid w:val="72AC1216"/>
    <w:rsid w:val="72B00049"/>
    <w:rsid w:val="72B70F99"/>
    <w:rsid w:val="72FF2D63"/>
    <w:rsid w:val="73080FB0"/>
    <w:rsid w:val="73092C77"/>
    <w:rsid w:val="73192710"/>
    <w:rsid w:val="732D44FD"/>
    <w:rsid w:val="73981574"/>
    <w:rsid w:val="73B92936"/>
    <w:rsid w:val="73FB49FD"/>
    <w:rsid w:val="74186DCB"/>
    <w:rsid w:val="74376D48"/>
    <w:rsid w:val="74446098"/>
    <w:rsid w:val="74681C20"/>
    <w:rsid w:val="746B414F"/>
    <w:rsid w:val="7472539D"/>
    <w:rsid w:val="748C3B60"/>
    <w:rsid w:val="74A27847"/>
    <w:rsid w:val="74C27582"/>
    <w:rsid w:val="74C6245D"/>
    <w:rsid w:val="74CA6D5F"/>
    <w:rsid w:val="74DC45A8"/>
    <w:rsid w:val="74FD4A5E"/>
    <w:rsid w:val="750227FB"/>
    <w:rsid w:val="7516167C"/>
    <w:rsid w:val="75693A34"/>
    <w:rsid w:val="75860E0F"/>
    <w:rsid w:val="75B770CD"/>
    <w:rsid w:val="75BF6F03"/>
    <w:rsid w:val="75CD34AB"/>
    <w:rsid w:val="75CF7ADF"/>
    <w:rsid w:val="75D5688C"/>
    <w:rsid w:val="75E16BD7"/>
    <w:rsid w:val="76342701"/>
    <w:rsid w:val="764B4F25"/>
    <w:rsid w:val="76686C67"/>
    <w:rsid w:val="76CE603E"/>
    <w:rsid w:val="77162A8D"/>
    <w:rsid w:val="77180623"/>
    <w:rsid w:val="774025C7"/>
    <w:rsid w:val="774F1DE9"/>
    <w:rsid w:val="77894212"/>
    <w:rsid w:val="778F0114"/>
    <w:rsid w:val="77991E01"/>
    <w:rsid w:val="77C02BE3"/>
    <w:rsid w:val="77DA7F5D"/>
    <w:rsid w:val="7800271B"/>
    <w:rsid w:val="78212811"/>
    <w:rsid w:val="782E08A0"/>
    <w:rsid w:val="78440AB3"/>
    <w:rsid w:val="785B79C8"/>
    <w:rsid w:val="787A7054"/>
    <w:rsid w:val="78CA0ADB"/>
    <w:rsid w:val="78D85865"/>
    <w:rsid w:val="792C66E3"/>
    <w:rsid w:val="796B5EBA"/>
    <w:rsid w:val="79DB397C"/>
    <w:rsid w:val="79FE73E8"/>
    <w:rsid w:val="7A237A12"/>
    <w:rsid w:val="7A352ECF"/>
    <w:rsid w:val="7A3713C7"/>
    <w:rsid w:val="7A6054E2"/>
    <w:rsid w:val="7A8B7D4E"/>
    <w:rsid w:val="7A98230D"/>
    <w:rsid w:val="7B60499C"/>
    <w:rsid w:val="7B6276D7"/>
    <w:rsid w:val="7B67206A"/>
    <w:rsid w:val="7BA5080C"/>
    <w:rsid w:val="7BC07077"/>
    <w:rsid w:val="7BCD0EC9"/>
    <w:rsid w:val="7BF44347"/>
    <w:rsid w:val="7C0C430A"/>
    <w:rsid w:val="7C361D53"/>
    <w:rsid w:val="7C4206CE"/>
    <w:rsid w:val="7C515A2B"/>
    <w:rsid w:val="7C7B1251"/>
    <w:rsid w:val="7CBF1AA2"/>
    <w:rsid w:val="7CCA6C44"/>
    <w:rsid w:val="7CF92CB6"/>
    <w:rsid w:val="7D293080"/>
    <w:rsid w:val="7D496A92"/>
    <w:rsid w:val="7DDF015B"/>
    <w:rsid w:val="7DEE0A06"/>
    <w:rsid w:val="7E192908"/>
    <w:rsid w:val="7E745C2A"/>
    <w:rsid w:val="7EA30424"/>
    <w:rsid w:val="7EA825F0"/>
    <w:rsid w:val="7EA95F25"/>
    <w:rsid w:val="7EBB39C0"/>
    <w:rsid w:val="7EBF6D37"/>
    <w:rsid w:val="7ED31DC1"/>
    <w:rsid w:val="7ED52F65"/>
    <w:rsid w:val="7EF47C86"/>
    <w:rsid w:val="7F3B5B00"/>
    <w:rsid w:val="7F510FB4"/>
    <w:rsid w:val="7F8E738B"/>
    <w:rsid w:val="7F9008CB"/>
    <w:rsid w:val="7FCB0BE9"/>
    <w:rsid w:val="7FE147D1"/>
    <w:rsid w:val="7FE95EA7"/>
    <w:rsid w:val="7FEB6C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99" w:semiHidden="0" w:name="envelope return" w:locked="1"/>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ocked="1"/>
    <w:lsdException w:qFormat="1" w:unhideWhenUsed="0" w:uiPriority="99" w:semiHidden="0" w:name="Strong" w:locked="1"/>
    <w:lsdException w:qFormat="1" w:unhideWhenUsed="0" w:uiPriority="0"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60"/>
    <w:qFormat/>
    <w:uiPriority w:val="99"/>
    <w:pPr>
      <w:keepNext/>
      <w:keepLines/>
      <w:numPr>
        <w:ilvl w:val="0"/>
        <w:numId w:val="1"/>
      </w:numPr>
      <w:adjustRightInd w:val="0"/>
      <w:spacing w:before="340" w:after="330" w:line="578" w:lineRule="atLeast"/>
      <w:textAlignment w:val="baseline"/>
      <w:outlineLvl w:val="0"/>
    </w:pPr>
    <w:rPr>
      <w:rFonts w:ascii="Calibri" w:hAnsi="Calibri" w:cs="Calibri"/>
      <w:b/>
      <w:bCs/>
      <w:kern w:val="44"/>
      <w:sz w:val="44"/>
      <w:szCs w:val="44"/>
    </w:rPr>
  </w:style>
  <w:style w:type="paragraph" w:styleId="5">
    <w:name w:val="heading 2"/>
    <w:basedOn w:val="1"/>
    <w:next w:val="1"/>
    <w:link w:val="61"/>
    <w:qFormat/>
    <w:uiPriority w:val="99"/>
    <w:pPr>
      <w:keepNext/>
      <w:keepLines/>
      <w:adjustRightInd w:val="0"/>
      <w:spacing w:before="260" w:after="260" w:line="416" w:lineRule="atLeast"/>
      <w:textAlignment w:val="baseline"/>
      <w:outlineLvl w:val="1"/>
    </w:pPr>
    <w:rPr>
      <w:rFonts w:ascii="Arial" w:hAnsi="Arial" w:eastAsia="黑体" w:cs="Arial"/>
      <w:b/>
      <w:bCs/>
      <w:kern w:val="0"/>
      <w:sz w:val="32"/>
      <w:szCs w:val="32"/>
    </w:rPr>
  </w:style>
  <w:style w:type="paragraph" w:styleId="6">
    <w:name w:val="heading 3"/>
    <w:basedOn w:val="1"/>
    <w:next w:val="1"/>
    <w:link w:val="62"/>
    <w:qFormat/>
    <w:uiPriority w:val="99"/>
    <w:pPr>
      <w:keepNext/>
      <w:keepLines/>
      <w:adjustRightInd w:val="0"/>
      <w:spacing w:before="260" w:after="260" w:line="416" w:lineRule="atLeast"/>
      <w:textAlignment w:val="baseline"/>
      <w:outlineLvl w:val="2"/>
    </w:pPr>
    <w:rPr>
      <w:b/>
      <w:bCs/>
      <w:kern w:val="0"/>
      <w:sz w:val="32"/>
      <w:szCs w:val="32"/>
    </w:rPr>
  </w:style>
  <w:style w:type="paragraph" w:styleId="7">
    <w:name w:val="heading 4"/>
    <w:basedOn w:val="1"/>
    <w:next w:val="1"/>
    <w:link w:val="63"/>
    <w:qFormat/>
    <w:uiPriority w:val="99"/>
    <w:pPr>
      <w:keepNext/>
      <w:keepLines/>
      <w:adjustRightInd w:val="0"/>
      <w:spacing w:before="280" w:after="290" w:line="376" w:lineRule="atLeast"/>
      <w:textAlignment w:val="baseline"/>
      <w:outlineLvl w:val="3"/>
    </w:pPr>
    <w:rPr>
      <w:rFonts w:ascii="Arial" w:hAnsi="Arial" w:eastAsia="黑体" w:cs="Arial"/>
      <w:b/>
      <w:bCs/>
      <w:sz w:val="28"/>
      <w:szCs w:val="28"/>
    </w:rPr>
  </w:style>
  <w:style w:type="paragraph" w:styleId="8">
    <w:name w:val="heading 5"/>
    <w:basedOn w:val="1"/>
    <w:next w:val="1"/>
    <w:link w:val="64"/>
    <w:qFormat/>
    <w:uiPriority w:val="99"/>
    <w:pPr>
      <w:keepNext/>
      <w:keepLines/>
      <w:adjustRightInd w:val="0"/>
      <w:spacing w:before="280" w:after="290" w:line="376" w:lineRule="atLeast"/>
      <w:textAlignment w:val="baseline"/>
      <w:outlineLvl w:val="4"/>
    </w:pPr>
    <w:rPr>
      <w:b/>
      <w:bCs/>
      <w:kern w:val="0"/>
      <w:sz w:val="28"/>
      <w:szCs w:val="28"/>
    </w:rPr>
  </w:style>
  <w:style w:type="paragraph" w:styleId="9">
    <w:name w:val="heading 6"/>
    <w:basedOn w:val="1"/>
    <w:next w:val="1"/>
    <w:link w:val="65"/>
    <w:qFormat/>
    <w:uiPriority w:val="99"/>
    <w:pPr>
      <w:keepNext/>
      <w:keepLines/>
      <w:adjustRightInd w:val="0"/>
      <w:spacing w:before="240" w:after="64" w:line="320" w:lineRule="atLeast"/>
      <w:textAlignment w:val="baseline"/>
      <w:outlineLvl w:val="5"/>
    </w:pPr>
    <w:rPr>
      <w:rFonts w:ascii="Arial" w:hAnsi="Arial" w:eastAsia="黑体" w:cs="Arial"/>
      <w:b/>
      <w:bCs/>
      <w:kern w:val="0"/>
      <w:sz w:val="24"/>
      <w:szCs w:val="24"/>
    </w:rPr>
  </w:style>
  <w:style w:type="paragraph" w:styleId="10">
    <w:name w:val="heading 7"/>
    <w:basedOn w:val="1"/>
    <w:next w:val="1"/>
    <w:link w:val="66"/>
    <w:qFormat/>
    <w:uiPriority w:val="99"/>
    <w:pPr>
      <w:keepNext/>
      <w:keepLines/>
      <w:adjustRightInd w:val="0"/>
      <w:spacing w:before="240" w:after="64" w:line="320" w:lineRule="atLeast"/>
      <w:textAlignment w:val="baseline"/>
      <w:outlineLvl w:val="6"/>
    </w:pPr>
    <w:rPr>
      <w:b/>
      <w:bCs/>
      <w:kern w:val="0"/>
      <w:sz w:val="24"/>
      <w:szCs w:val="24"/>
    </w:rPr>
  </w:style>
  <w:style w:type="paragraph" w:styleId="11">
    <w:name w:val="heading 8"/>
    <w:basedOn w:val="1"/>
    <w:next w:val="1"/>
    <w:link w:val="67"/>
    <w:qFormat/>
    <w:uiPriority w:val="99"/>
    <w:pPr>
      <w:keepNext/>
      <w:keepLines/>
      <w:adjustRightInd w:val="0"/>
      <w:spacing w:before="240" w:after="64" w:line="320" w:lineRule="atLeast"/>
      <w:textAlignment w:val="baseline"/>
      <w:outlineLvl w:val="7"/>
    </w:pPr>
    <w:rPr>
      <w:rFonts w:ascii="Arial" w:hAnsi="Arial" w:eastAsia="黑体" w:cs="Arial"/>
      <w:kern w:val="0"/>
      <w:sz w:val="24"/>
      <w:szCs w:val="24"/>
    </w:rPr>
  </w:style>
  <w:style w:type="paragraph" w:styleId="12">
    <w:name w:val="heading 9"/>
    <w:basedOn w:val="1"/>
    <w:next w:val="1"/>
    <w:link w:val="68"/>
    <w:qFormat/>
    <w:uiPriority w:val="99"/>
    <w:pPr>
      <w:keepNext/>
      <w:keepLines/>
      <w:adjustRightInd w:val="0"/>
      <w:spacing w:before="240" w:after="64" w:line="320" w:lineRule="atLeast"/>
      <w:textAlignment w:val="baseline"/>
      <w:outlineLvl w:val="8"/>
    </w:pPr>
    <w:rPr>
      <w:rFonts w:ascii="Arial" w:hAnsi="Arial" w:eastAsia="黑体" w:cs="Arial"/>
      <w:kern w:val="0"/>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link w:val="69"/>
    <w:qFormat/>
    <w:uiPriority w:val="99"/>
    <w:pPr>
      <w:spacing w:after="156"/>
      <w:ind w:firstLine="480"/>
    </w:pPr>
    <w:rPr>
      <w:rFonts w:ascii="Calibri" w:hAnsi="Calibri" w:cs="Calibri"/>
      <w:sz w:val="24"/>
      <w:szCs w:val="24"/>
    </w:rPr>
  </w:style>
  <w:style w:type="paragraph" w:styleId="3">
    <w:name w:val="envelope return"/>
    <w:basedOn w:val="1"/>
    <w:qFormat/>
    <w:locked/>
    <w:uiPriority w:val="99"/>
    <w:pPr>
      <w:snapToGrid w:val="0"/>
    </w:pPr>
    <w:rPr>
      <w:rFonts w:ascii="Arial" w:hAnsi="Arial" w:cs="Arial"/>
    </w:rPr>
  </w:style>
  <w:style w:type="paragraph" w:styleId="13">
    <w:name w:val="List 3"/>
    <w:basedOn w:val="1"/>
    <w:qFormat/>
    <w:uiPriority w:val="99"/>
    <w:pPr>
      <w:ind w:left="100" w:leftChars="400" w:hanging="200" w:hangingChars="200"/>
    </w:pPr>
  </w:style>
  <w:style w:type="paragraph" w:styleId="14">
    <w:name w:val="toc 7"/>
    <w:basedOn w:val="1"/>
    <w:next w:val="1"/>
    <w:semiHidden/>
    <w:qFormat/>
    <w:uiPriority w:val="99"/>
    <w:pPr>
      <w:ind w:left="1260"/>
      <w:jc w:val="left"/>
    </w:pPr>
    <w:rPr>
      <w:sz w:val="18"/>
      <w:szCs w:val="18"/>
    </w:rPr>
  </w:style>
  <w:style w:type="paragraph" w:styleId="15">
    <w:name w:val="Normal Indent"/>
    <w:basedOn w:val="1"/>
    <w:next w:val="1"/>
    <w:link w:val="95"/>
    <w:qFormat/>
    <w:uiPriority w:val="99"/>
    <w:pPr>
      <w:ind w:firstLine="420"/>
    </w:pPr>
  </w:style>
  <w:style w:type="paragraph" w:styleId="16">
    <w:name w:val="Document Map"/>
    <w:basedOn w:val="1"/>
    <w:link w:val="71"/>
    <w:semiHidden/>
    <w:qFormat/>
    <w:uiPriority w:val="99"/>
    <w:pPr>
      <w:shd w:val="clear" w:color="auto" w:fill="000080"/>
    </w:pPr>
  </w:style>
  <w:style w:type="paragraph" w:styleId="17">
    <w:name w:val="annotation text"/>
    <w:basedOn w:val="1"/>
    <w:link w:val="72"/>
    <w:semiHidden/>
    <w:qFormat/>
    <w:uiPriority w:val="99"/>
    <w:pPr>
      <w:jc w:val="left"/>
    </w:pPr>
    <w:rPr>
      <w:rFonts w:ascii="Calibri" w:hAnsi="Calibri" w:cs="Calibri"/>
    </w:rPr>
  </w:style>
  <w:style w:type="paragraph" w:styleId="18">
    <w:name w:val="Body Text"/>
    <w:basedOn w:val="1"/>
    <w:next w:val="1"/>
    <w:link w:val="73"/>
    <w:qFormat/>
    <w:uiPriority w:val="99"/>
    <w:rPr>
      <w:sz w:val="24"/>
      <w:szCs w:val="24"/>
    </w:rPr>
  </w:style>
  <w:style w:type="paragraph" w:styleId="19">
    <w:name w:val="List 2"/>
    <w:basedOn w:val="1"/>
    <w:qFormat/>
    <w:uiPriority w:val="99"/>
    <w:pPr>
      <w:ind w:left="100" w:leftChars="200" w:hanging="200" w:hangingChars="200"/>
    </w:pPr>
  </w:style>
  <w:style w:type="paragraph" w:styleId="20">
    <w:name w:val="List Continue"/>
    <w:basedOn w:val="1"/>
    <w:qFormat/>
    <w:uiPriority w:val="99"/>
    <w:pPr>
      <w:spacing w:after="120"/>
      <w:ind w:left="420" w:leftChars="200"/>
    </w:pPr>
  </w:style>
  <w:style w:type="paragraph" w:styleId="21">
    <w:name w:val="Block Text"/>
    <w:basedOn w:val="1"/>
    <w:qFormat/>
    <w:uiPriority w:val="99"/>
    <w:pPr>
      <w:autoSpaceDE w:val="0"/>
      <w:autoSpaceDN w:val="0"/>
      <w:adjustRightInd w:val="0"/>
      <w:spacing w:line="300" w:lineRule="auto"/>
      <w:ind w:left="29" w:leftChars="12" w:right="6" w:firstLine="560" w:firstLineChars="200"/>
    </w:pPr>
    <w:rPr>
      <w:kern w:val="0"/>
      <w:sz w:val="28"/>
      <w:szCs w:val="28"/>
    </w:rPr>
  </w:style>
  <w:style w:type="paragraph" w:styleId="22">
    <w:name w:val="toc 5"/>
    <w:basedOn w:val="1"/>
    <w:next w:val="1"/>
    <w:semiHidden/>
    <w:qFormat/>
    <w:uiPriority w:val="99"/>
    <w:pPr>
      <w:ind w:left="840"/>
      <w:jc w:val="left"/>
    </w:pPr>
    <w:rPr>
      <w:sz w:val="18"/>
      <w:szCs w:val="18"/>
    </w:rPr>
  </w:style>
  <w:style w:type="paragraph" w:styleId="23">
    <w:name w:val="toc 3"/>
    <w:basedOn w:val="1"/>
    <w:next w:val="1"/>
    <w:semiHidden/>
    <w:qFormat/>
    <w:uiPriority w:val="99"/>
    <w:pPr>
      <w:ind w:left="420"/>
      <w:jc w:val="left"/>
    </w:pPr>
    <w:rPr>
      <w:i/>
      <w:iCs/>
      <w:sz w:val="20"/>
      <w:szCs w:val="20"/>
    </w:rPr>
  </w:style>
  <w:style w:type="paragraph" w:styleId="24">
    <w:name w:val="Plain Text"/>
    <w:basedOn w:val="1"/>
    <w:link w:val="74"/>
    <w:qFormat/>
    <w:uiPriority w:val="99"/>
    <w:rPr>
      <w:rFonts w:ascii="宋体" w:hAnsi="Courier New" w:cs="宋体"/>
    </w:rPr>
  </w:style>
  <w:style w:type="paragraph" w:styleId="25">
    <w:name w:val="toc 8"/>
    <w:basedOn w:val="1"/>
    <w:next w:val="1"/>
    <w:semiHidden/>
    <w:qFormat/>
    <w:uiPriority w:val="99"/>
    <w:pPr>
      <w:ind w:left="1470"/>
      <w:jc w:val="left"/>
    </w:pPr>
    <w:rPr>
      <w:sz w:val="18"/>
      <w:szCs w:val="18"/>
    </w:rPr>
  </w:style>
  <w:style w:type="paragraph" w:styleId="26">
    <w:name w:val="Date"/>
    <w:basedOn w:val="1"/>
    <w:next w:val="1"/>
    <w:link w:val="75"/>
    <w:qFormat/>
    <w:uiPriority w:val="99"/>
    <w:pPr>
      <w:widowControl/>
      <w:ind w:left="100"/>
      <w:jc w:val="left"/>
    </w:pPr>
    <w:rPr>
      <w:rFonts w:ascii="宋体" w:hAnsi="宋体" w:cs="宋体"/>
      <w:kern w:val="0"/>
      <w:sz w:val="28"/>
      <w:szCs w:val="28"/>
    </w:rPr>
  </w:style>
  <w:style w:type="paragraph" w:styleId="27">
    <w:name w:val="Body Text Indent 2"/>
    <w:basedOn w:val="1"/>
    <w:link w:val="76"/>
    <w:qFormat/>
    <w:uiPriority w:val="99"/>
    <w:pPr>
      <w:ind w:left="1436" w:leftChars="684"/>
    </w:pPr>
    <w:rPr>
      <w:sz w:val="24"/>
      <w:szCs w:val="24"/>
    </w:rPr>
  </w:style>
  <w:style w:type="paragraph" w:styleId="28">
    <w:name w:val="List Continue 5"/>
    <w:basedOn w:val="1"/>
    <w:qFormat/>
    <w:uiPriority w:val="99"/>
    <w:pPr>
      <w:spacing w:after="120"/>
      <w:ind w:left="2100" w:leftChars="1000"/>
    </w:pPr>
  </w:style>
  <w:style w:type="paragraph" w:styleId="29">
    <w:name w:val="Balloon Text"/>
    <w:basedOn w:val="1"/>
    <w:link w:val="77"/>
    <w:semiHidden/>
    <w:qFormat/>
    <w:uiPriority w:val="99"/>
    <w:rPr>
      <w:rFonts w:ascii="Calibri" w:hAnsi="Calibri" w:cs="Calibri"/>
      <w:sz w:val="18"/>
      <w:szCs w:val="18"/>
    </w:rPr>
  </w:style>
  <w:style w:type="paragraph" w:styleId="30">
    <w:name w:val="footer"/>
    <w:basedOn w:val="1"/>
    <w:link w:val="78"/>
    <w:qFormat/>
    <w:uiPriority w:val="99"/>
    <w:pPr>
      <w:tabs>
        <w:tab w:val="center" w:pos="4153"/>
        <w:tab w:val="right" w:pos="8306"/>
      </w:tabs>
      <w:snapToGrid w:val="0"/>
      <w:jc w:val="left"/>
    </w:pPr>
    <w:rPr>
      <w:rFonts w:ascii="Calibri" w:hAnsi="Calibri" w:cs="Calibri"/>
      <w:sz w:val="18"/>
      <w:szCs w:val="18"/>
    </w:rPr>
  </w:style>
  <w:style w:type="paragraph" w:styleId="31">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semiHidden/>
    <w:qFormat/>
    <w:uiPriority w:val="99"/>
    <w:pPr>
      <w:tabs>
        <w:tab w:val="left" w:pos="840"/>
        <w:tab w:val="right" w:leader="dot" w:pos="9402"/>
      </w:tabs>
      <w:adjustRightInd w:val="0"/>
      <w:snapToGrid w:val="0"/>
      <w:spacing w:line="360" w:lineRule="auto"/>
      <w:jc w:val="left"/>
    </w:pPr>
    <w:rPr>
      <w:rFonts w:ascii="Arial" w:hAnsi="宋体" w:cs="Arial"/>
      <w:caps/>
      <w:w w:val="80"/>
      <w:sz w:val="24"/>
      <w:szCs w:val="24"/>
    </w:rPr>
  </w:style>
  <w:style w:type="paragraph" w:styleId="33">
    <w:name w:val="List Continue 4"/>
    <w:basedOn w:val="1"/>
    <w:qFormat/>
    <w:uiPriority w:val="99"/>
    <w:pPr>
      <w:spacing w:after="120"/>
      <w:ind w:left="1680" w:leftChars="800"/>
    </w:pPr>
  </w:style>
  <w:style w:type="paragraph" w:styleId="34">
    <w:name w:val="toc 4"/>
    <w:basedOn w:val="1"/>
    <w:next w:val="1"/>
    <w:semiHidden/>
    <w:qFormat/>
    <w:uiPriority w:val="99"/>
    <w:pPr>
      <w:tabs>
        <w:tab w:val="left" w:pos="1080"/>
        <w:tab w:val="right" w:leader="dot" w:pos="9125"/>
      </w:tabs>
      <w:adjustRightInd w:val="0"/>
      <w:snapToGrid w:val="0"/>
      <w:spacing w:line="360" w:lineRule="auto"/>
      <w:jc w:val="left"/>
    </w:pPr>
    <w:rPr>
      <w:sz w:val="18"/>
      <w:szCs w:val="18"/>
    </w:rPr>
  </w:style>
  <w:style w:type="paragraph" w:styleId="35">
    <w:name w:val="List"/>
    <w:basedOn w:val="1"/>
    <w:qFormat/>
    <w:uiPriority w:val="99"/>
    <w:pPr>
      <w:ind w:left="200" w:hanging="200" w:hangingChars="200"/>
    </w:pPr>
  </w:style>
  <w:style w:type="paragraph" w:styleId="36">
    <w:name w:val="footnote text"/>
    <w:basedOn w:val="1"/>
    <w:link w:val="80"/>
    <w:semiHidden/>
    <w:qFormat/>
    <w:uiPriority w:val="99"/>
    <w:pPr>
      <w:snapToGrid w:val="0"/>
      <w:jc w:val="left"/>
    </w:pPr>
    <w:rPr>
      <w:sz w:val="18"/>
      <w:szCs w:val="18"/>
    </w:rPr>
  </w:style>
  <w:style w:type="paragraph" w:styleId="37">
    <w:name w:val="toc 6"/>
    <w:basedOn w:val="1"/>
    <w:next w:val="1"/>
    <w:semiHidden/>
    <w:qFormat/>
    <w:uiPriority w:val="99"/>
    <w:pPr>
      <w:ind w:left="1050"/>
      <w:jc w:val="left"/>
    </w:pPr>
    <w:rPr>
      <w:sz w:val="18"/>
      <w:szCs w:val="18"/>
    </w:rPr>
  </w:style>
  <w:style w:type="paragraph" w:styleId="38">
    <w:name w:val="List 5"/>
    <w:basedOn w:val="1"/>
    <w:qFormat/>
    <w:uiPriority w:val="99"/>
    <w:pPr>
      <w:ind w:left="100" w:leftChars="800" w:hanging="200" w:hangingChars="200"/>
    </w:pPr>
  </w:style>
  <w:style w:type="paragraph" w:styleId="39">
    <w:name w:val="Body Text Indent 3"/>
    <w:basedOn w:val="1"/>
    <w:link w:val="81"/>
    <w:qFormat/>
    <w:uiPriority w:val="99"/>
    <w:pPr>
      <w:spacing w:after="120"/>
      <w:ind w:left="420" w:leftChars="200"/>
    </w:pPr>
    <w:rPr>
      <w:sz w:val="16"/>
      <w:szCs w:val="16"/>
    </w:rPr>
  </w:style>
  <w:style w:type="paragraph" w:styleId="40">
    <w:name w:val="toc 2"/>
    <w:basedOn w:val="1"/>
    <w:next w:val="1"/>
    <w:semiHidden/>
    <w:qFormat/>
    <w:uiPriority w:val="99"/>
    <w:pPr>
      <w:ind w:left="210"/>
      <w:jc w:val="left"/>
    </w:pPr>
    <w:rPr>
      <w:smallCaps/>
      <w:sz w:val="20"/>
      <w:szCs w:val="20"/>
    </w:rPr>
  </w:style>
  <w:style w:type="paragraph" w:styleId="41">
    <w:name w:val="toc 9"/>
    <w:basedOn w:val="1"/>
    <w:next w:val="1"/>
    <w:semiHidden/>
    <w:qFormat/>
    <w:uiPriority w:val="99"/>
    <w:pPr>
      <w:ind w:left="1680"/>
      <w:jc w:val="left"/>
    </w:pPr>
    <w:rPr>
      <w:sz w:val="18"/>
      <w:szCs w:val="18"/>
    </w:rPr>
  </w:style>
  <w:style w:type="paragraph" w:styleId="42">
    <w:name w:val="Body Text 2"/>
    <w:basedOn w:val="1"/>
    <w:link w:val="82"/>
    <w:qFormat/>
    <w:uiPriority w:val="99"/>
    <w:rPr>
      <w:rFonts w:ascii="宋体" w:hAnsi="宋体" w:cs="宋体"/>
      <w:sz w:val="24"/>
      <w:szCs w:val="24"/>
    </w:rPr>
  </w:style>
  <w:style w:type="paragraph" w:styleId="43">
    <w:name w:val="List 4"/>
    <w:basedOn w:val="1"/>
    <w:qFormat/>
    <w:uiPriority w:val="99"/>
    <w:pPr>
      <w:ind w:left="100" w:leftChars="600" w:hanging="200" w:hangingChars="200"/>
    </w:pPr>
  </w:style>
  <w:style w:type="paragraph" w:styleId="44">
    <w:name w:val="List Continue 2"/>
    <w:basedOn w:val="1"/>
    <w:qFormat/>
    <w:uiPriority w:val="99"/>
    <w:pPr>
      <w:spacing w:after="120"/>
      <w:ind w:left="840" w:leftChars="400"/>
    </w:pPr>
  </w:style>
  <w:style w:type="paragraph" w:styleId="45">
    <w:name w:val="HTML Preformatted"/>
    <w:basedOn w:val="1"/>
    <w:link w:val="83"/>
    <w:qFormat/>
    <w:uiPriority w:val="99"/>
    <w:rPr>
      <w:rFonts w:ascii="Courier New" w:hAnsi="Courier New" w:cs="Courier New"/>
      <w:sz w:val="20"/>
      <w:szCs w:val="20"/>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7">
    <w:name w:val="List Continue 3"/>
    <w:basedOn w:val="1"/>
    <w:qFormat/>
    <w:uiPriority w:val="99"/>
    <w:pPr>
      <w:spacing w:after="120"/>
      <w:ind w:left="1260" w:leftChars="600"/>
    </w:pPr>
  </w:style>
  <w:style w:type="paragraph" w:styleId="48">
    <w:name w:val="annotation subject"/>
    <w:basedOn w:val="17"/>
    <w:next w:val="17"/>
    <w:link w:val="84"/>
    <w:semiHidden/>
    <w:qFormat/>
    <w:uiPriority w:val="99"/>
    <w:rPr>
      <w:b/>
      <w:bCs/>
    </w:rPr>
  </w:style>
  <w:style w:type="paragraph" w:styleId="49">
    <w:name w:val="Body Text First Indent"/>
    <w:basedOn w:val="18"/>
    <w:link w:val="85"/>
    <w:qFormat/>
    <w:uiPriority w:val="99"/>
    <w:pPr>
      <w:spacing w:line="360" w:lineRule="auto"/>
      <w:ind w:firstLine="482"/>
    </w:pPr>
    <w:rPr>
      <w:b/>
      <w:bCs/>
    </w:rPr>
  </w:style>
  <w:style w:type="paragraph" w:styleId="50">
    <w:name w:val="Body Text First Indent 2"/>
    <w:basedOn w:val="2"/>
    <w:link w:val="70"/>
    <w:qFormat/>
    <w:locked/>
    <w:uiPriority w:val="99"/>
    <w:pPr>
      <w:ind w:firstLine="420" w:firstLineChars="200"/>
    </w:pPr>
  </w:style>
  <w:style w:type="table" w:styleId="52">
    <w:name w:val="Table Grid"/>
    <w:basedOn w:val="5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locked/>
    <w:uiPriority w:val="99"/>
    <w:rPr>
      <w:b/>
      <w:bCs/>
    </w:rPr>
  </w:style>
  <w:style w:type="character" w:styleId="55">
    <w:name w:val="page number"/>
    <w:basedOn w:val="53"/>
    <w:qFormat/>
    <w:uiPriority w:val="99"/>
  </w:style>
  <w:style w:type="character" w:styleId="56">
    <w:name w:val="FollowedHyperlink"/>
    <w:qFormat/>
    <w:locked/>
    <w:uiPriority w:val="99"/>
    <w:rPr>
      <w:color w:val="333333"/>
      <w:u w:val="none"/>
    </w:rPr>
  </w:style>
  <w:style w:type="character" w:styleId="57">
    <w:name w:val="Hyperlink"/>
    <w:qFormat/>
    <w:uiPriority w:val="99"/>
    <w:rPr>
      <w:color w:val="333333"/>
      <w:u w:val="none"/>
    </w:rPr>
  </w:style>
  <w:style w:type="character" w:styleId="58">
    <w:name w:val="annotation reference"/>
    <w:semiHidden/>
    <w:qFormat/>
    <w:uiPriority w:val="99"/>
    <w:rPr>
      <w:sz w:val="21"/>
      <w:szCs w:val="21"/>
    </w:rPr>
  </w:style>
  <w:style w:type="character" w:styleId="59">
    <w:name w:val="footnote reference"/>
    <w:semiHidden/>
    <w:qFormat/>
    <w:uiPriority w:val="99"/>
    <w:rPr>
      <w:vertAlign w:val="superscript"/>
    </w:rPr>
  </w:style>
  <w:style w:type="character" w:customStyle="1" w:styleId="60">
    <w:name w:val="标题 1 字符"/>
    <w:link w:val="4"/>
    <w:qFormat/>
    <w:locked/>
    <w:uiPriority w:val="99"/>
    <w:rPr>
      <w:b/>
      <w:bCs/>
      <w:kern w:val="44"/>
      <w:sz w:val="44"/>
      <w:szCs w:val="44"/>
    </w:rPr>
  </w:style>
  <w:style w:type="character" w:customStyle="1" w:styleId="61">
    <w:name w:val="标题 2 字符"/>
    <w:link w:val="5"/>
    <w:qFormat/>
    <w:locked/>
    <w:uiPriority w:val="99"/>
    <w:rPr>
      <w:rFonts w:ascii="Arial" w:hAnsi="Arial" w:eastAsia="黑体" w:cs="Arial"/>
      <w:b/>
      <w:bCs/>
      <w:sz w:val="32"/>
      <w:szCs w:val="32"/>
    </w:rPr>
  </w:style>
  <w:style w:type="character" w:customStyle="1" w:styleId="62">
    <w:name w:val="标题 3 字符"/>
    <w:link w:val="6"/>
    <w:semiHidden/>
    <w:qFormat/>
    <w:locked/>
    <w:uiPriority w:val="99"/>
    <w:rPr>
      <w:rFonts w:ascii="Times New Roman" w:hAnsi="Times New Roman" w:cs="Times New Roman"/>
      <w:b/>
      <w:bCs/>
      <w:sz w:val="32"/>
      <w:szCs w:val="32"/>
    </w:rPr>
  </w:style>
  <w:style w:type="character" w:customStyle="1" w:styleId="63">
    <w:name w:val="标题 4 字符"/>
    <w:link w:val="7"/>
    <w:qFormat/>
    <w:locked/>
    <w:uiPriority w:val="99"/>
    <w:rPr>
      <w:rFonts w:ascii="Arial" w:hAnsi="Arial" w:eastAsia="黑体" w:cs="Arial"/>
      <w:b/>
      <w:bCs/>
      <w:kern w:val="2"/>
      <w:sz w:val="28"/>
      <w:szCs w:val="28"/>
      <w:lang w:val="en-US" w:eastAsia="zh-CN"/>
    </w:rPr>
  </w:style>
  <w:style w:type="character" w:customStyle="1" w:styleId="64">
    <w:name w:val="标题 5 字符"/>
    <w:link w:val="8"/>
    <w:semiHidden/>
    <w:qFormat/>
    <w:locked/>
    <w:uiPriority w:val="99"/>
    <w:rPr>
      <w:rFonts w:ascii="Times New Roman" w:hAnsi="Times New Roman" w:cs="Times New Roman"/>
      <w:b/>
      <w:bCs/>
      <w:sz w:val="28"/>
      <w:szCs w:val="28"/>
    </w:rPr>
  </w:style>
  <w:style w:type="character" w:customStyle="1" w:styleId="65">
    <w:name w:val="标题 6 字符"/>
    <w:link w:val="9"/>
    <w:semiHidden/>
    <w:qFormat/>
    <w:locked/>
    <w:uiPriority w:val="99"/>
    <w:rPr>
      <w:rFonts w:ascii="Cambria" w:hAnsi="Cambria" w:eastAsia="宋体" w:cs="Cambria"/>
      <w:b/>
      <w:bCs/>
      <w:sz w:val="24"/>
      <w:szCs w:val="24"/>
    </w:rPr>
  </w:style>
  <w:style w:type="character" w:customStyle="1" w:styleId="66">
    <w:name w:val="标题 7 字符"/>
    <w:link w:val="10"/>
    <w:semiHidden/>
    <w:qFormat/>
    <w:locked/>
    <w:uiPriority w:val="99"/>
    <w:rPr>
      <w:rFonts w:ascii="Times New Roman" w:hAnsi="Times New Roman" w:cs="Times New Roman"/>
      <w:b/>
      <w:bCs/>
      <w:sz w:val="24"/>
      <w:szCs w:val="24"/>
    </w:rPr>
  </w:style>
  <w:style w:type="character" w:customStyle="1" w:styleId="67">
    <w:name w:val="标题 8 字符"/>
    <w:link w:val="11"/>
    <w:semiHidden/>
    <w:qFormat/>
    <w:locked/>
    <w:uiPriority w:val="99"/>
    <w:rPr>
      <w:rFonts w:ascii="Cambria" w:hAnsi="Cambria" w:eastAsia="宋体" w:cs="Cambria"/>
      <w:sz w:val="24"/>
      <w:szCs w:val="24"/>
    </w:rPr>
  </w:style>
  <w:style w:type="character" w:customStyle="1" w:styleId="68">
    <w:name w:val="标题 9 字符"/>
    <w:link w:val="12"/>
    <w:semiHidden/>
    <w:qFormat/>
    <w:locked/>
    <w:uiPriority w:val="99"/>
    <w:rPr>
      <w:rFonts w:ascii="Cambria" w:hAnsi="Cambria" w:eastAsia="宋体" w:cs="Cambria"/>
      <w:sz w:val="21"/>
      <w:szCs w:val="21"/>
    </w:rPr>
  </w:style>
  <w:style w:type="character" w:customStyle="1" w:styleId="69">
    <w:name w:val="正文文本缩进 字符"/>
    <w:link w:val="2"/>
    <w:qFormat/>
    <w:locked/>
    <w:uiPriority w:val="99"/>
    <w:rPr>
      <w:kern w:val="2"/>
      <w:sz w:val="24"/>
      <w:szCs w:val="24"/>
    </w:rPr>
  </w:style>
  <w:style w:type="character" w:customStyle="1" w:styleId="70">
    <w:name w:val="正文首行缩进 2 字符"/>
    <w:link w:val="50"/>
    <w:semiHidden/>
    <w:qFormat/>
    <w:locked/>
    <w:uiPriority w:val="99"/>
    <w:rPr>
      <w:rFonts w:ascii="Times New Roman" w:hAnsi="Times New Roman" w:cs="Times New Roman"/>
      <w:kern w:val="2"/>
      <w:sz w:val="21"/>
      <w:szCs w:val="21"/>
    </w:rPr>
  </w:style>
  <w:style w:type="character" w:customStyle="1" w:styleId="71">
    <w:name w:val="文档结构图 字符"/>
    <w:link w:val="16"/>
    <w:semiHidden/>
    <w:qFormat/>
    <w:locked/>
    <w:uiPriority w:val="99"/>
    <w:rPr>
      <w:rFonts w:ascii="Times New Roman" w:hAnsi="Times New Roman" w:cs="Times New Roman"/>
      <w:sz w:val="2"/>
      <w:szCs w:val="2"/>
    </w:rPr>
  </w:style>
  <w:style w:type="character" w:customStyle="1" w:styleId="72">
    <w:name w:val="批注文字 字符"/>
    <w:link w:val="17"/>
    <w:qFormat/>
    <w:locked/>
    <w:uiPriority w:val="99"/>
    <w:rPr>
      <w:kern w:val="2"/>
      <w:sz w:val="21"/>
      <w:szCs w:val="21"/>
    </w:rPr>
  </w:style>
  <w:style w:type="character" w:customStyle="1" w:styleId="73">
    <w:name w:val="正文文本 字符"/>
    <w:link w:val="18"/>
    <w:semiHidden/>
    <w:qFormat/>
    <w:locked/>
    <w:uiPriority w:val="99"/>
    <w:rPr>
      <w:rFonts w:ascii="Times New Roman" w:hAnsi="Times New Roman" w:cs="Times New Roman"/>
      <w:sz w:val="21"/>
      <w:szCs w:val="21"/>
    </w:rPr>
  </w:style>
  <w:style w:type="character" w:customStyle="1" w:styleId="74">
    <w:name w:val="纯文本 字符"/>
    <w:link w:val="24"/>
    <w:semiHidden/>
    <w:qFormat/>
    <w:locked/>
    <w:uiPriority w:val="99"/>
    <w:rPr>
      <w:rFonts w:ascii="宋体" w:hAnsi="Courier New" w:cs="宋体"/>
      <w:sz w:val="21"/>
      <w:szCs w:val="21"/>
    </w:rPr>
  </w:style>
  <w:style w:type="character" w:customStyle="1" w:styleId="75">
    <w:name w:val="日期 字符"/>
    <w:link w:val="26"/>
    <w:semiHidden/>
    <w:qFormat/>
    <w:locked/>
    <w:uiPriority w:val="99"/>
    <w:rPr>
      <w:rFonts w:ascii="Times New Roman" w:hAnsi="Times New Roman" w:cs="Times New Roman"/>
      <w:sz w:val="21"/>
      <w:szCs w:val="21"/>
    </w:rPr>
  </w:style>
  <w:style w:type="character" w:customStyle="1" w:styleId="76">
    <w:name w:val="正文文本缩进 2 字符"/>
    <w:link w:val="27"/>
    <w:semiHidden/>
    <w:qFormat/>
    <w:locked/>
    <w:uiPriority w:val="99"/>
    <w:rPr>
      <w:rFonts w:ascii="Times New Roman" w:hAnsi="Times New Roman" w:cs="Times New Roman"/>
      <w:sz w:val="21"/>
      <w:szCs w:val="21"/>
    </w:rPr>
  </w:style>
  <w:style w:type="character" w:customStyle="1" w:styleId="77">
    <w:name w:val="批注框文本 字符"/>
    <w:link w:val="29"/>
    <w:qFormat/>
    <w:locked/>
    <w:uiPriority w:val="99"/>
    <w:rPr>
      <w:rFonts w:eastAsia="宋体"/>
      <w:kern w:val="2"/>
      <w:sz w:val="18"/>
      <w:szCs w:val="18"/>
      <w:lang w:val="en-US" w:eastAsia="zh-CN"/>
    </w:rPr>
  </w:style>
  <w:style w:type="character" w:customStyle="1" w:styleId="78">
    <w:name w:val="页脚 字符"/>
    <w:link w:val="30"/>
    <w:qFormat/>
    <w:locked/>
    <w:uiPriority w:val="99"/>
    <w:rPr>
      <w:kern w:val="2"/>
      <w:sz w:val="18"/>
      <w:szCs w:val="18"/>
    </w:rPr>
  </w:style>
  <w:style w:type="character" w:customStyle="1" w:styleId="79">
    <w:name w:val="页眉 字符"/>
    <w:link w:val="31"/>
    <w:semiHidden/>
    <w:qFormat/>
    <w:locked/>
    <w:uiPriority w:val="99"/>
    <w:rPr>
      <w:rFonts w:ascii="Times New Roman" w:hAnsi="Times New Roman" w:cs="Times New Roman"/>
      <w:sz w:val="18"/>
      <w:szCs w:val="18"/>
    </w:rPr>
  </w:style>
  <w:style w:type="character" w:customStyle="1" w:styleId="80">
    <w:name w:val="脚注文本 字符"/>
    <w:link w:val="36"/>
    <w:semiHidden/>
    <w:qFormat/>
    <w:locked/>
    <w:uiPriority w:val="99"/>
    <w:rPr>
      <w:rFonts w:ascii="Times New Roman" w:hAnsi="Times New Roman" w:cs="Times New Roman"/>
      <w:sz w:val="18"/>
      <w:szCs w:val="18"/>
    </w:rPr>
  </w:style>
  <w:style w:type="character" w:customStyle="1" w:styleId="81">
    <w:name w:val="正文文本缩进 3 字符"/>
    <w:link w:val="39"/>
    <w:semiHidden/>
    <w:qFormat/>
    <w:locked/>
    <w:uiPriority w:val="99"/>
    <w:rPr>
      <w:rFonts w:ascii="Times New Roman" w:hAnsi="Times New Roman" w:cs="Times New Roman"/>
      <w:sz w:val="16"/>
      <w:szCs w:val="16"/>
    </w:rPr>
  </w:style>
  <w:style w:type="character" w:customStyle="1" w:styleId="82">
    <w:name w:val="正文文本 2 字符"/>
    <w:link w:val="42"/>
    <w:semiHidden/>
    <w:qFormat/>
    <w:locked/>
    <w:uiPriority w:val="99"/>
    <w:rPr>
      <w:rFonts w:ascii="Times New Roman" w:hAnsi="Times New Roman" w:cs="Times New Roman"/>
      <w:sz w:val="21"/>
      <w:szCs w:val="21"/>
    </w:rPr>
  </w:style>
  <w:style w:type="character" w:customStyle="1" w:styleId="83">
    <w:name w:val="HTML 预设格式 字符"/>
    <w:link w:val="45"/>
    <w:qFormat/>
    <w:locked/>
    <w:uiPriority w:val="99"/>
    <w:rPr>
      <w:rFonts w:ascii="Courier New" w:hAnsi="Courier New" w:cs="Courier New"/>
      <w:kern w:val="2"/>
    </w:rPr>
  </w:style>
  <w:style w:type="character" w:customStyle="1" w:styleId="84">
    <w:name w:val="批注主题 字符"/>
    <w:link w:val="48"/>
    <w:semiHidden/>
    <w:qFormat/>
    <w:locked/>
    <w:uiPriority w:val="99"/>
    <w:rPr>
      <w:rFonts w:ascii="Times New Roman" w:hAnsi="Times New Roman" w:cs="Times New Roman"/>
      <w:b/>
      <w:bCs/>
      <w:kern w:val="2"/>
      <w:sz w:val="21"/>
      <w:szCs w:val="21"/>
    </w:rPr>
  </w:style>
  <w:style w:type="character" w:customStyle="1" w:styleId="85">
    <w:name w:val="正文首行缩进 字符"/>
    <w:link w:val="49"/>
    <w:semiHidden/>
    <w:qFormat/>
    <w:locked/>
    <w:uiPriority w:val="99"/>
    <w:rPr>
      <w:rFonts w:ascii="Times New Roman" w:hAnsi="Times New Roman" w:cs="Times New Roman"/>
      <w:sz w:val="21"/>
      <w:szCs w:val="21"/>
    </w:rPr>
  </w:style>
  <w:style w:type="character" w:customStyle="1" w:styleId="86">
    <w:name w:val="style1"/>
    <w:qFormat/>
    <w:uiPriority w:val="99"/>
  </w:style>
  <w:style w:type="character" w:customStyle="1" w:styleId="87">
    <w:name w:val="纯文本 Char_0_0"/>
    <w:link w:val="88"/>
    <w:qFormat/>
    <w:locked/>
    <w:uiPriority w:val="99"/>
    <w:rPr>
      <w:rFonts w:ascii="宋体" w:hAnsi="Courier New" w:cs="宋体"/>
      <w:kern w:val="2"/>
      <w:sz w:val="21"/>
      <w:szCs w:val="21"/>
    </w:rPr>
  </w:style>
  <w:style w:type="paragraph" w:customStyle="1" w:styleId="88">
    <w:name w:val="纯文本_0_0"/>
    <w:basedOn w:val="89"/>
    <w:link w:val="87"/>
    <w:qFormat/>
    <w:uiPriority w:val="99"/>
    <w:rPr>
      <w:rFonts w:ascii="宋体" w:hAnsi="Courier New" w:cs="宋体"/>
    </w:rPr>
  </w:style>
  <w:style w:type="paragraph" w:customStyle="1" w:styleId="89">
    <w:name w:val="正文_7_1_0"/>
    <w:qFormat/>
    <w:uiPriority w:val="99"/>
    <w:pPr>
      <w:widowControl w:val="0"/>
      <w:jc w:val="both"/>
    </w:pPr>
    <w:rPr>
      <w:rFonts w:ascii="Calibri" w:hAnsi="Calibri" w:eastAsia="宋体" w:cs="Calibri"/>
      <w:kern w:val="2"/>
      <w:sz w:val="21"/>
      <w:szCs w:val="21"/>
      <w:lang w:val="en-US" w:eastAsia="zh-CN" w:bidi="ar-SA"/>
    </w:rPr>
  </w:style>
  <w:style w:type="character" w:customStyle="1" w:styleId="90">
    <w:name w:val="标题 1 Char Char"/>
    <w:qFormat/>
    <w:uiPriority w:val="99"/>
    <w:rPr>
      <w:rFonts w:ascii="宋体" w:hAnsi="宋体" w:eastAsia="宋体" w:cs="宋体"/>
      <w:b/>
      <w:bCs/>
      <w:spacing w:val="-2"/>
      <w:sz w:val="24"/>
      <w:szCs w:val="24"/>
      <w:lang w:val="en-US" w:eastAsia="zh-CN"/>
    </w:rPr>
  </w:style>
  <w:style w:type="character" w:customStyle="1" w:styleId="91">
    <w:name w:val="font51"/>
    <w:qFormat/>
    <w:uiPriority w:val="99"/>
    <w:rPr>
      <w:rFonts w:ascii="宋体" w:hAnsi="宋体" w:eastAsia="宋体" w:cs="宋体"/>
      <w:color w:val="000000"/>
      <w:sz w:val="24"/>
      <w:szCs w:val="24"/>
      <w:u w:val="none"/>
    </w:rPr>
  </w:style>
  <w:style w:type="character" w:customStyle="1" w:styleId="92">
    <w:name w:val="Style Heading 3 + Char"/>
    <w:link w:val="93"/>
    <w:qFormat/>
    <w:locked/>
    <w:uiPriority w:val="99"/>
    <w:rPr>
      <w:rFonts w:eastAsia="宋体"/>
      <w:b/>
      <w:bCs/>
      <w:kern w:val="2"/>
      <w:sz w:val="28"/>
      <w:szCs w:val="28"/>
      <w:lang w:val="en-US" w:eastAsia="zh-CN"/>
    </w:rPr>
  </w:style>
  <w:style w:type="paragraph" w:customStyle="1" w:styleId="93">
    <w:name w:val="Style Heading 3 +"/>
    <w:basedOn w:val="6"/>
    <w:link w:val="92"/>
    <w:qFormat/>
    <w:uiPriority w:val="99"/>
    <w:pPr>
      <w:adjustRightInd/>
      <w:spacing w:before="120" w:after="120" w:line="120" w:lineRule="atLeast"/>
      <w:textAlignment w:val="auto"/>
    </w:pPr>
    <w:rPr>
      <w:kern w:val="2"/>
      <w:sz w:val="28"/>
      <w:szCs w:val="28"/>
    </w:rPr>
  </w:style>
  <w:style w:type="character" w:customStyle="1" w:styleId="94">
    <w:name w:val="font11"/>
    <w:qFormat/>
    <w:uiPriority w:val="99"/>
    <w:rPr>
      <w:rFonts w:ascii="宋体" w:hAnsi="宋体" w:eastAsia="宋体" w:cs="宋体"/>
      <w:color w:val="000000"/>
      <w:sz w:val="24"/>
      <w:szCs w:val="24"/>
      <w:u w:val="none"/>
    </w:rPr>
  </w:style>
  <w:style w:type="character" w:customStyle="1" w:styleId="95">
    <w:name w:val="正文缩进 字符"/>
    <w:link w:val="15"/>
    <w:qFormat/>
    <w:locked/>
    <w:uiPriority w:val="99"/>
    <w:rPr>
      <w:kern w:val="2"/>
      <w:sz w:val="21"/>
      <w:szCs w:val="21"/>
    </w:rPr>
  </w:style>
  <w:style w:type="character" w:customStyle="1" w:styleId="96">
    <w:name w:val="font01"/>
    <w:qFormat/>
    <w:uiPriority w:val="99"/>
    <w:rPr>
      <w:rFonts w:ascii="宋体" w:hAnsi="宋体" w:eastAsia="宋体" w:cs="宋体"/>
      <w:color w:val="FF0000"/>
      <w:sz w:val="24"/>
      <w:szCs w:val="24"/>
      <w:u w:val="none"/>
    </w:rPr>
  </w:style>
  <w:style w:type="paragraph" w:customStyle="1" w:styleId="97">
    <w:name w:val="简单回函地址"/>
    <w:basedOn w:val="1"/>
    <w:qFormat/>
    <w:uiPriority w:val="99"/>
  </w:style>
  <w:style w:type="paragraph" w:customStyle="1" w:styleId="98">
    <w:name w:val="纯文本2"/>
    <w:basedOn w:val="1"/>
    <w:qFormat/>
    <w:uiPriority w:val="99"/>
    <w:rPr>
      <w:rFonts w:ascii="宋体" w:hAnsi="Courier New" w:cs="宋体"/>
      <w:sz w:val="28"/>
      <w:szCs w:val="28"/>
    </w:rPr>
  </w:style>
  <w:style w:type="paragraph" w:customStyle="1" w:styleId="99">
    <w:name w:val="图文"/>
    <w:basedOn w:val="1"/>
    <w:qFormat/>
    <w:uiPriority w:val="99"/>
    <w:pPr>
      <w:adjustRightInd w:val="0"/>
      <w:snapToGrid w:val="0"/>
      <w:spacing w:after="50" w:line="360" w:lineRule="auto"/>
    </w:pPr>
    <w:rPr>
      <w:sz w:val="24"/>
      <w:szCs w:val="24"/>
    </w:rPr>
  </w:style>
  <w:style w:type="paragraph" w:customStyle="1" w:styleId="100">
    <w:name w:val="Plain Text1"/>
    <w:basedOn w:val="1"/>
    <w:qFormat/>
    <w:uiPriority w:val="99"/>
    <w:pPr>
      <w:widowControl/>
      <w:adjustRightInd w:val="0"/>
      <w:jc w:val="left"/>
      <w:textAlignment w:val="baseline"/>
    </w:pPr>
    <w:rPr>
      <w:rFonts w:ascii="宋体" w:hAnsi="Courier New" w:eastAsia="楷体_GB2312" w:cs="宋体"/>
      <w:kern w:val="0"/>
      <w:sz w:val="26"/>
      <w:szCs w:val="26"/>
    </w:rPr>
  </w:style>
  <w:style w:type="paragraph" w:customStyle="1" w:styleId="101">
    <w:name w:val="文档正文"/>
    <w:basedOn w:val="1"/>
    <w:qFormat/>
    <w:uiPriority w:val="99"/>
    <w:pPr>
      <w:adjustRightInd w:val="0"/>
      <w:spacing w:line="480" w:lineRule="atLeast"/>
      <w:ind w:firstLine="567"/>
      <w:textAlignment w:val="baseline"/>
    </w:pPr>
    <w:rPr>
      <w:rFonts w:ascii="仿宋_GB2312" w:eastAsia="仿宋_GB2312" w:cs="仿宋_GB2312"/>
      <w:kern w:val="0"/>
      <w:sz w:val="28"/>
      <w:szCs w:val="28"/>
    </w:rPr>
  </w:style>
  <w:style w:type="paragraph" w:customStyle="1" w:styleId="102">
    <w:name w:val="1"/>
    <w:basedOn w:val="1"/>
    <w:next w:val="24"/>
    <w:qFormat/>
    <w:uiPriority w:val="99"/>
    <w:rPr>
      <w:rFonts w:ascii="宋体" w:hAnsi="Courier New" w:cs="宋体"/>
    </w:rPr>
  </w:style>
  <w:style w:type="paragraph" w:customStyle="1" w:styleId="103">
    <w:name w:val="6"/>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04">
    <w:name w:val="Char2"/>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05">
    <w:name w:val="二级目录"/>
    <w:next w:val="1"/>
    <w:qFormat/>
    <w:uiPriority w:val="99"/>
    <w:pPr>
      <w:tabs>
        <w:tab w:val="left" w:pos="720"/>
      </w:tabs>
      <w:ind w:left="720" w:hanging="720"/>
      <w:outlineLvl w:val="1"/>
    </w:pPr>
    <w:rPr>
      <w:rFonts w:ascii="Times New Roman" w:hAnsi="Times New Roman" w:eastAsia="宋体" w:cs="Times New Roman"/>
      <w:b/>
      <w:bCs/>
      <w:kern w:val="2"/>
      <w:sz w:val="30"/>
      <w:szCs w:val="30"/>
      <w:lang w:val="en-US" w:eastAsia="zh-CN" w:bidi="ar-SA"/>
    </w:rPr>
  </w:style>
  <w:style w:type="paragraph" w:customStyle="1" w:styleId="106">
    <w:name w:val="Char Char Char1 Char"/>
    <w:basedOn w:val="1"/>
    <w:qFormat/>
    <w:uiPriority w:val="99"/>
  </w:style>
  <w:style w:type="paragraph" w:customStyle="1" w:styleId="107">
    <w:name w:val="列出段落1"/>
    <w:basedOn w:val="1"/>
    <w:qFormat/>
    <w:uiPriority w:val="99"/>
    <w:pPr>
      <w:ind w:firstLine="420" w:firstLineChars="200"/>
    </w:pPr>
  </w:style>
  <w:style w:type="paragraph" w:customStyle="1" w:styleId="108">
    <w:name w:val="Normal_12_0"/>
    <w:qFormat/>
    <w:uiPriority w:val="99"/>
    <w:rPr>
      <w:rFonts w:ascii="黑体" w:hAnsi="黑体" w:eastAsia="黑体" w:cs="黑体"/>
      <w:b/>
      <w:bCs/>
      <w:sz w:val="32"/>
      <w:szCs w:val="32"/>
      <w:lang w:val="en-US" w:eastAsia="zh-CN" w:bidi="ar-SA"/>
    </w:rPr>
  </w:style>
  <w:style w:type="paragraph" w:customStyle="1" w:styleId="109">
    <w:name w:val="p0"/>
    <w:basedOn w:val="1"/>
    <w:qFormat/>
    <w:uiPriority w:val="99"/>
    <w:pPr>
      <w:widowControl/>
    </w:pPr>
    <w:rPr>
      <w:kern w:val="0"/>
    </w:rPr>
  </w:style>
  <w:style w:type="paragraph" w:customStyle="1" w:styleId="110">
    <w:name w:val="正文缩进2格"/>
    <w:basedOn w:val="1"/>
    <w:link w:val="125"/>
    <w:qFormat/>
    <w:uiPriority w:val="0"/>
    <w:pPr>
      <w:spacing w:line="600" w:lineRule="exact"/>
      <w:ind w:firstLine="639" w:firstLineChars="206"/>
    </w:pPr>
    <w:rPr>
      <w:rFonts w:ascii="仿宋_GB2312" w:hAnsi="宋体" w:eastAsia="仿宋_GB2312" w:cs="仿宋_GB2312"/>
      <w:sz w:val="31"/>
      <w:szCs w:val="31"/>
    </w:rPr>
  </w:style>
  <w:style w:type="paragraph" w:customStyle="1" w:styleId="111">
    <w:name w:val="列出段落11"/>
    <w:basedOn w:val="1"/>
    <w:qFormat/>
    <w:uiPriority w:val="99"/>
    <w:pPr>
      <w:ind w:firstLine="200" w:firstLineChars="200"/>
    </w:pPr>
    <w:rPr>
      <w:rFonts w:ascii="Calibri" w:hAnsi="Calibri" w:cs="Calibri"/>
    </w:rPr>
  </w:style>
  <w:style w:type="paragraph" w:customStyle="1" w:styleId="112">
    <w:name w:val="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3">
    <w:name w:val="默认段落字体 Para Char Char Char Char"/>
    <w:basedOn w:val="1"/>
    <w:qFormat/>
    <w:uiPriority w:val="99"/>
  </w:style>
  <w:style w:type="paragraph" w:customStyle="1" w:styleId="114">
    <w:name w:val="样式 标题 1 + 宋体 段前: 0 磅 段后: 0 磅 行距: 单倍行距"/>
    <w:basedOn w:val="4"/>
    <w:next w:val="1"/>
    <w:qFormat/>
    <w:uiPriority w:val="99"/>
    <w:pPr>
      <w:spacing w:beforeLines="100" w:afterLines="100"/>
    </w:pPr>
    <w:rPr>
      <w:rFonts w:ascii="仿宋_GB2312" w:hAnsi="宋体" w:cs="仿宋_GB2312"/>
    </w:rPr>
  </w:style>
  <w:style w:type="paragraph" w:customStyle="1" w:styleId="115">
    <w:name w:val="样式 标题 2 + 黑色 行距: 1.5 倍行距"/>
    <w:basedOn w:val="5"/>
    <w:qFormat/>
    <w:uiPriority w:val="99"/>
    <w:pPr>
      <w:adjustRightInd/>
      <w:spacing w:line="360" w:lineRule="auto"/>
      <w:ind w:firstLine="3502" w:firstLineChars="1246"/>
      <w:textAlignment w:val="auto"/>
    </w:pPr>
    <w:rPr>
      <w:rFonts w:ascii="楷体_GB2312" w:hAnsi="宋体" w:eastAsia="楷体_GB2312" w:cs="楷体_GB2312"/>
      <w:kern w:val="2"/>
      <w:sz w:val="28"/>
      <w:szCs w:val="28"/>
    </w:rPr>
  </w:style>
  <w:style w:type="paragraph" w:styleId="116">
    <w:name w:val="List Paragraph"/>
    <w:basedOn w:val="1"/>
    <w:qFormat/>
    <w:uiPriority w:val="99"/>
    <w:pPr>
      <w:ind w:firstLine="420" w:firstLineChars="200"/>
    </w:pPr>
  </w:style>
  <w:style w:type="paragraph" w:customStyle="1" w:styleId="117">
    <w:name w:val="Default"/>
    <w:qFormat/>
    <w:uiPriority w:val="99"/>
    <w:pPr>
      <w:widowControl w:val="0"/>
      <w:autoSpaceDE w:val="0"/>
      <w:autoSpaceDN w:val="0"/>
      <w:adjustRightInd w:val="0"/>
    </w:pPr>
    <w:rPr>
      <w:rFonts w:ascii="......." w:hAnsi="Calibri" w:eastAsia="......." w:cs="......."/>
      <w:color w:val="000000"/>
      <w:sz w:val="24"/>
      <w:szCs w:val="24"/>
      <w:lang w:val="en-US" w:eastAsia="zh-CN" w:bidi="ar-SA"/>
    </w:rPr>
  </w:style>
  <w:style w:type="character" w:customStyle="1" w:styleId="118">
    <w:name w:val="font21"/>
    <w:qFormat/>
    <w:uiPriority w:val="99"/>
    <w:rPr>
      <w:rFonts w:ascii="楷体_GB2312" w:eastAsia="楷体_GB2312" w:cs="楷体_GB2312"/>
      <w:color w:val="000000"/>
      <w:sz w:val="24"/>
      <w:szCs w:val="24"/>
      <w:u w:val="none"/>
    </w:rPr>
  </w:style>
  <w:style w:type="paragraph" w:customStyle="1" w:styleId="119">
    <w:name w:val="Body Text First Indent 21"/>
    <w:qFormat/>
    <w:uiPriority w:val="99"/>
    <w:pPr>
      <w:widowControl w:val="0"/>
      <w:spacing w:line="480" w:lineRule="auto"/>
      <w:ind w:firstLine="420" w:firstLineChars="200"/>
      <w:jc w:val="both"/>
    </w:pPr>
    <w:rPr>
      <w:rFonts w:ascii="仿宋" w:hAnsi="仿宋" w:eastAsia="仿宋" w:cs="仿宋"/>
      <w:kern w:val="2"/>
      <w:sz w:val="24"/>
      <w:szCs w:val="24"/>
      <w:lang w:val="en-US" w:eastAsia="zh-CN" w:bidi="ar-SA"/>
    </w:rPr>
  </w:style>
  <w:style w:type="paragraph" w:customStyle="1" w:styleId="120">
    <w:name w:val="正文_0"/>
    <w:qFormat/>
    <w:uiPriority w:val="99"/>
    <w:rPr>
      <w:rFonts w:ascii="Times New Roman" w:hAnsi="Times New Roman" w:eastAsia="宋体" w:cs="Times New Roman"/>
      <w:sz w:val="21"/>
      <w:szCs w:val="21"/>
      <w:lang w:val="en-US" w:eastAsia="zh-CN" w:bidi="ar-SA"/>
    </w:rPr>
  </w:style>
  <w:style w:type="character" w:customStyle="1" w:styleId="121">
    <w:name w:val="font61"/>
    <w:basedOn w:val="53"/>
    <w:qFormat/>
    <w:uiPriority w:val="0"/>
    <w:rPr>
      <w:rFonts w:hint="eastAsia" w:ascii="宋体" w:hAnsi="宋体" w:eastAsia="宋体" w:cs="宋体"/>
      <w:color w:val="000000"/>
      <w:sz w:val="22"/>
      <w:szCs w:val="22"/>
      <w:u w:val="none"/>
    </w:rPr>
  </w:style>
  <w:style w:type="paragraph" w:customStyle="1" w:styleId="122">
    <w:name w:val="普通正文"/>
    <w:basedOn w:val="1"/>
    <w:qFormat/>
    <w:uiPriority w:val="0"/>
    <w:pPr>
      <w:adjustRightInd w:val="0"/>
      <w:spacing w:before="120" w:after="120" w:line="360" w:lineRule="auto"/>
      <w:ind w:left="-2" w:right="120" w:firstLine="480"/>
      <w:jc w:val="center"/>
      <w:textAlignment w:val="baseline"/>
    </w:pPr>
    <w:rPr>
      <w:rFonts w:ascii="Arial" w:hAnsi="Arial"/>
      <w:sz w:val="24"/>
    </w:rPr>
  </w:style>
  <w:style w:type="character" w:customStyle="1" w:styleId="123">
    <w:name w:val="font81"/>
    <w:basedOn w:val="53"/>
    <w:qFormat/>
    <w:uiPriority w:val="0"/>
    <w:rPr>
      <w:rFonts w:hint="eastAsia" w:ascii="宋体" w:hAnsi="宋体" w:eastAsia="宋体" w:cs="宋体"/>
      <w:b/>
      <w:color w:val="000000"/>
      <w:sz w:val="18"/>
      <w:szCs w:val="18"/>
      <w:u w:val="none"/>
    </w:rPr>
  </w:style>
  <w:style w:type="character" w:customStyle="1" w:styleId="124">
    <w:name w:val="font41"/>
    <w:basedOn w:val="53"/>
    <w:qFormat/>
    <w:uiPriority w:val="0"/>
    <w:rPr>
      <w:rFonts w:hint="eastAsia" w:ascii="宋体" w:hAnsi="宋体" w:eastAsia="宋体" w:cs="宋体"/>
      <w:color w:val="FF0000"/>
      <w:sz w:val="18"/>
      <w:szCs w:val="18"/>
      <w:u w:val="none"/>
    </w:rPr>
  </w:style>
  <w:style w:type="character" w:customStyle="1" w:styleId="125">
    <w:name w:val="正文缩进2格 Char"/>
    <w:link w:val="110"/>
    <w:qFormat/>
    <w:locked/>
    <w:uiPriority w:val="0"/>
    <w:rPr>
      <w:rFonts w:ascii="仿宋_GB2312" w:hAnsi="宋体" w:eastAsia="仿宋_GB2312" w:cs="仿宋_GB2312"/>
      <w:kern w:val="2"/>
      <w:sz w:val="31"/>
      <w:szCs w:val="31"/>
    </w:rPr>
  </w:style>
  <w:style w:type="paragraph" w:customStyle="1" w:styleId="126">
    <w:name w:val="普通(网站) Char"/>
    <w:basedOn w:val="1"/>
    <w:qFormat/>
    <w:uiPriority w:val="99"/>
    <w:pPr>
      <w:widowControl/>
      <w:overflowPunct w:val="0"/>
      <w:autoSpaceDE w:val="0"/>
      <w:autoSpaceDN w:val="0"/>
      <w:adjustRightInd w:val="0"/>
      <w:spacing w:before="100" w:beforeAutospacing="1" w:after="100" w:afterAutospacing="1"/>
      <w:jc w:val="left"/>
    </w:pPr>
    <w:rPr>
      <w:rFonts w:ascii="宋体" w:hAnsi="宋体" w:eastAsia="仿宋_GB2312" w:cs="宋体"/>
      <w:kern w:val="0"/>
      <w:sz w:val="24"/>
      <w:szCs w:val="20"/>
    </w:rPr>
  </w:style>
  <w:style w:type="paragraph" w:customStyle="1" w:styleId="127">
    <w:name w:val="Table Text"/>
    <w:basedOn w:val="1"/>
    <w:semiHidden/>
    <w:qFormat/>
    <w:uiPriority w:val="0"/>
    <w:rPr>
      <w:rFonts w:ascii="宋体" w:hAnsi="宋体" w:cs="宋体"/>
      <w:sz w:val="24"/>
      <w:szCs w:val="24"/>
      <w:lang w:eastAsia="en-US"/>
    </w:rPr>
  </w:style>
  <w:style w:type="table" w:customStyle="1" w:styleId="12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15394</Words>
  <Characters>15693</Characters>
  <Lines>123</Lines>
  <Paragraphs>34</Paragraphs>
  <TotalTime>22</TotalTime>
  <ScaleCrop>false</ScaleCrop>
  <LinksUpToDate>false</LinksUpToDate>
  <CharactersWithSpaces>16644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2020-11-30T09:05:00Z</dcterms:created>
  <dc:creator>ql</dc:creator>
  <cp:lastModifiedBy>SyanH✡❅♛</cp:lastModifiedBy>
  <cp:lastPrinted>2020-01-06T09:25:00Z</cp:lastPrinted>
  <dcterms:modified xsi:type="dcterms:W3CDTF">2025-11-13T02:48:37Z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901D705F4B554F76B4FDB80BE474D3BB_13</vt:lpwstr>
  </property>
  <property fmtid="{D5CDD505-2E9C-101B-9397-08002B2CF9AE}" pid="4" name="KSOTemplateDocerSaveRecord">
    <vt:lpwstr>eyJoZGlkIjoiYTg0MGMwODZjMjQ4M2QzMDQ3ZmVhNGFhZGIyZTNjNjIiLCJ1c2VySWQiOiIxMTM4MzEwMTY1In0=</vt:lpwstr>
  </property>
</Properties>
</file>